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footer6.xml" ContentType="application/vnd.openxmlformats-officedocument.wordprocessingml.footer+xml"/>
  <Override PartName="/word/media/image1.jpeg" ContentType="image/jpe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eastAsia="Calibri"/>
        </w:rPr>
      </w:pPr>
      <w:r>
        <w:rPr>
          <w:rFonts w:eastAsia="Calibri" w:ascii="Times New Roman" w:hAnsi="Times New Roman"/>
        </w:rPr>
      </w:r>
    </w:p>
    <w:p>
      <w:pPr>
        <w:pStyle w:val="ConsPlusNormal1"/>
        <w:widowControl/>
        <w:tabs>
          <w:tab w:val="clear" w:pos="709"/>
          <w:tab w:val="left" w:pos="1260" w:leader="none"/>
        </w:tabs>
        <w:ind w:hanging="1080" w:left="126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>Требования к оформлению и составлению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  <w:t xml:space="preserve"> </w:t>
      </w:r>
      <w:r>
        <w:rPr>
          <w:rFonts w:cs="Times New Roman" w:ascii="Times New Roman" w:hAnsi="Times New Roman"/>
          <w:b/>
          <w:sz w:val="22"/>
          <w:szCs w:val="22"/>
        </w:rPr>
        <w:t>сметной документации на работы по программе строительства, реконструкции и техническому перевооружению</w:t>
      </w:r>
    </w:p>
    <w:p>
      <w:pPr>
        <w:pStyle w:val="ConsPlusNormal1"/>
        <w:widowControl/>
        <w:tabs>
          <w:tab w:val="clear" w:pos="709"/>
          <w:tab w:val="left" w:pos="1620" w:leader="none"/>
        </w:tabs>
        <w:ind w:firstLine="180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Настоящие требования разработаны для единого подхода к оформлению и составлению сметной документации на работы по ремонтам, реконструкции и техническому перевооружению.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>Использование</w:t>
      </w:r>
      <w:r>
        <w:rPr>
          <w:rFonts w:ascii="Times New Roman" w:hAnsi="Times New Roman"/>
          <w:sz w:val="22"/>
          <w:szCs w:val="22"/>
        </w:rPr>
        <w:t xml:space="preserve"> нормативов ценообразования, не зарегистрированных и не вошедших в ФРСН, </w:t>
      </w:r>
      <w:r>
        <w:rPr>
          <w:rFonts w:ascii="Times New Roman" w:hAnsi="Times New Roman"/>
          <w:b/>
          <w:sz w:val="22"/>
          <w:szCs w:val="22"/>
          <w:u w:val="single"/>
        </w:rPr>
        <w:t>не допускается</w:t>
      </w:r>
      <w:r>
        <w:rPr>
          <w:rFonts w:ascii="Times New Roman" w:hAnsi="Times New Roman"/>
          <w:sz w:val="22"/>
          <w:szCs w:val="22"/>
        </w:rPr>
        <w:t>, кроме случаев, прямо указанных в настоящих требованиях.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cs="Times New Roman" w:ascii="Times New Roman" w:hAnsi="Times New Roman"/>
          <w:sz w:val="22"/>
          <w:szCs w:val="22"/>
        </w:rPr>
        <w:t xml:space="preserve">Версия программного комплекса «Гранд-Смета» (далее–ПК «Гранд-смета») </w:t>
      </w:r>
      <w:r>
        <w:rPr>
          <w:rFonts w:cs="Times New Roman" w:ascii="Times New Roman" w:hAnsi="Times New Roman"/>
          <w:sz w:val="22"/>
          <w:szCs w:val="22"/>
          <w:u w:val="single"/>
        </w:rPr>
        <w:t>должна быть не ниже 202</w:t>
      </w:r>
      <w:r>
        <w:rPr>
          <w:rFonts w:cs="Times New Roman" w:ascii="Times New Roman" w:hAnsi="Times New Roman"/>
          <w:sz w:val="22"/>
          <w:szCs w:val="22"/>
          <w:u w:val="single"/>
        </w:rPr>
        <w:t>6</w:t>
      </w:r>
      <w:r>
        <w:rPr>
          <w:rFonts w:cs="Times New Roman" w:ascii="Times New Roman" w:hAnsi="Times New Roman"/>
          <w:sz w:val="22"/>
          <w:szCs w:val="22"/>
          <w:u w:val="single"/>
        </w:rPr>
        <w:t>.1.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При составлении смет руководствоваться 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- Методикой определения сметной стоимости строительства), с учетом изменений и дополнений.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составлении смет на ремонт, реконструкцию и техническое перевооружение энергетического оборудования приоритетным является применение сборников «Базовых цен на работы по ремонту энергетического оборудования, адекватных условиям функционирования конкурентного рынка услуг по ремонту и техперевооружению» с учетом дополнений и изменений </w:t>
        <w:br/>
        <w:t>1-12 (далее – БЦ), «Методических указаний по формированию смет и калькуляций на ремонт энергооборудования» (СО 34.20.607-2005), разработанных АО «ЦКБ Энергоремонт». Поправочный индекс к Базовым ценам учитывать в размере, не превышающем предельный индекс, установленный для Филиала (ПО) ПАО «РусГидро».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highlight w:val="none"/>
          <w:shd w:fill="auto" w:val="clear"/>
        </w:rPr>
      </w:pPr>
      <w:r>
        <w:rPr>
          <w:rFonts w:cs="Arial" w:ascii="Times New Roman" w:hAnsi="Times New Roman"/>
          <w:sz w:val="22"/>
          <w:szCs w:val="22"/>
          <w:shd w:fill="auto" w:val="clear"/>
        </w:rPr>
        <w:t xml:space="preserve">При составлении сметной документации необходимо использовать сметно-нормативную базу </w:t>
      </w:r>
      <w:r>
        <w:rPr>
          <w:rFonts w:cs="Arial" w:ascii="Times New Roman" w:hAnsi="Times New Roman"/>
          <w:sz w:val="22"/>
          <w:szCs w:val="22"/>
          <w:shd w:fill="auto" w:val="clear"/>
        </w:rPr>
        <w:t xml:space="preserve">не ниже </w:t>
      </w:r>
      <w:r>
        <w:rPr>
          <w:rFonts w:cs="Arial" w:ascii="Times New Roman" w:hAnsi="Times New Roman"/>
          <w:sz w:val="22"/>
          <w:szCs w:val="22"/>
          <w:shd w:fill="auto" w:val="clear"/>
        </w:rPr>
        <w:t xml:space="preserve"> I квартал 202</w:t>
      </w:r>
      <w:r>
        <w:rPr>
          <w:rFonts w:cs="Arial" w:ascii="Times New Roman" w:hAnsi="Times New Roman"/>
          <w:sz w:val="22"/>
          <w:szCs w:val="22"/>
          <w:shd w:fill="auto" w:val="clear"/>
        </w:rPr>
        <w:t>6</w:t>
      </w:r>
      <w:r>
        <w:rPr>
          <w:rFonts w:cs="Arial" w:ascii="Times New Roman" w:hAnsi="Times New Roman"/>
          <w:sz w:val="22"/>
          <w:szCs w:val="22"/>
          <w:shd w:fill="auto" w:val="clear"/>
        </w:rPr>
        <w:t xml:space="preserve"> года ФСНБ-2022 (с Изм. 1-1</w:t>
      </w:r>
      <w:r>
        <w:rPr>
          <w:rFonts w:cs="Arial" w:ascii="Times New Roman" w:hAnsi="Times New Roman"/>
          <w:sz w:val="22"/>
          <w:szCs w:val="22"/>
          <w:shd w:fill="auto" w:val="clear"/>
        </w:rPr>
        <w:t>7</w:t>
      </w:r>
      <w:r>
        <w:rPr>
          <w:rFonts w:cs="Arial" w:ascii="Times New Roman" w:hAnsi="Times New Roman"/>
          <w:sz w:val="22"/>
          <w:szCs w:val="22"/>
          <w:shd w:fill="auto" w:val="clear"/>
        </w:rPr>
        <w:t>).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Определение</w:t>
      </w:r>
      <w:r>
        <w:rPr>
          <w:rFonts w:ascii="Times New Roman" w:hAnsi="Times New Roman"/>
          <w:color w:val="FF0000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сметной стоимости работ при строительстве, ремонте, реконструкции и техническом перевооружении произвести </w:t>
      </w:r>
      <w:r>
        <w:rPr>
          <w:rFonts w:ascii="Times New Roman" w:hAnsi="Times New Roman"/>
          <w:b/>
          <w:sz w:val="22"/>
          <w:szCs w:val="22"/>
        </w:rPr>
        <w:t>р</w:t>
      </w:r>
      <w:bookmarkStart w:id="0" w:name="_Hlk80987880"/>
      <w:r>
        <w:rPr>
          <w:rFonts w:ascii="Times New Roman" w:hAnsi="Times New Roman"/>
          <w:b/>
          <w:sz w:val="22"/>
          <w:szCs w:val="22"/>
        </w:rPr>
        <w:t>есурсно-индексным методом</w:t>
      </w:r>
      <w:r>
        <w:rPr>
          <w:rFonts w:ascii="Times New Roman" w:hAnsi="Times New Roman"/>
          <w:sz w:val="22"/>
          <w:szCs w:val="22"/>
        </w:rPr>
        <w:t xml:space="preserve"> - с использованием сметных норм, сметных цен строительных ресурсов в базисном уровне цен и одновременным применением информации о сметных ценах, размещенной в ФГИС ЦС, а также индексов изменения сметной стоимости к составляющим единичных расценок в базисном уровне цен. Сметная стоимость, определенная с применением ресурсно</w:t>
      </w:r>
      <w:r>
        <w:rPr>
          <w:rFonts w:cs="Times New Roman" w:ascii="Times New Roman" w:hAnsi="Times New Roman"/>
          <w:color w:val="000000"/>
          <w:sz w:val="22"/>
          <w:szCs w:val="22"/>
          <w:shd w:fill="auto" w:val="clear"/>
        </w:rPr>
        <w:t>Базовый индекс инфляции (ИПЦ) для целей планирования на 2026 -2027 г , согласно приказа Минстроя России от 23.12.2019 №841/пр (ред. от 14.06.2022) рассчитывается как индекс прогнозной инфляции в программе гранд смета, индекс-дефлятор учитывается в ЛС, коэффициентом к итогам, распространяя коэффициент к прямым затратам на все статьи.</w:t>
      </w:r>
      <w:r>
        <w:rPr>
          <w:rFonts w:ascii="Times New Roman" w:hAnsi="Times New Roman"/>
          <w:sz w:val="22"/>
          <w:szCs w:val="22"/>
        </w:rPr>
        <w:t>-индексного метода, приводится в ЛСР (ЛС) в текущем уровне цен</w:t>
      </w:r>
      <w:bookmarkEnd w:id="0"/>
      <w:r>
        <w:rPr>
          <w:rFonts w:ascii="Times New Roman" w:hAnsi="Times New Roman"/>
          <w:sz w:val="22"/>
          <w:szCs w:val="22"/>
        </w:rPr>
        <w:t xml:space="preserve">. 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426" w:leader="none"/>
          <w:tab w:val="left" w:pos="993" w:leader="none"/>
        </w:tabs>
        <w:spacing w:before="40" w:after="40"/>
        <w:ind w:firstLine="709" w:left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При определении сметной стоимости </w:t>
      </w:r>
      <w:r>
        <w:rPr>
          <w:rFonts w:ascii="Times New Roman" w:hAnsi="Times New Roman"/>
          <w:b/>
          <w:sz w:val="22"/>
          <w:szCs w:val="22"/>
        </w:rPr>
        <w:t>ресурсно-индексным методом</w:t>
      </w:r>
      <w:r>
        <w:rPr>
          <w:rFonts w:ascii="Times New Roman" w:hAnsi="Times New Roman"/>
          <w:sz w:val="22"/>
          <w:szCs w:val="22"/>
        </w:rPr>
        <w:t xml:space="preserve">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/>
      </w:pPr>
      <w:r>
        <w:rPr>
          <w:rFonts w:ascii="Times New Roman" w:hAnsi="Times New Roman"/>
        </w:rPr>
        <w:t>Д</w:t>
      </w:r>
      <w:r>
        <w:rPr>
          <w:rFonts w:ascii="Times New Roman" w:hAnsi="Times New Roman"/>
          <w:sz w:val="22"/>
          <w:szCs w:val="22"/>
        </w:rPr>
        <w:t>ля ресурсно-индексного метода: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40" w:after="40"/>
        <w:ind w:hanging="0" w:left="0"/>
        <w:contextualSpacing w:val="false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 xml:space="preserve">- индексы к отдельным строительным ресурсам, индексы к группам строительных ресурсов </w:t>
      </w:r>
      <w:r>
        <w:rPr>
          <w:rFonts w:cs="Arial" w:ascii="Times New Roman" w:hAnsi="Times New Roman"/>
          <w:b/>
        </w:rPr>
        <w:t>(индексы к сметной стоимости отдельных материалов, изделий, конструкций, оборудования, эксплуатации машин и механизмов или к стоимости однородных групп таких строительных ресурсов)</w:t>
      </w:r>
      <w:r>
        <w:rPr>
          <w:rFonts w:cs="Arial" w:ascii="Times New Roman" w:hAnsi="Times New Roman"/>
        </w:rPr>
        <w:t>;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40" w:after="40"/>
        <w:ind w:hanging="0" w:left="0"/>
        <w:contextualSpacing w:val="false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 xml:space="preserve">- индексы изменения сметных цен на </w:t>
      </w:r>
      <w:r>
        <w:rPr>
          <w:rFonts w:cs="Arial" w:ascii="Times New Roman" w:hAnsi="Times New Roman"/>
          <w:b/>
        </w:rPr>
        <w:t>перевозку грузов</w:t>
      </w:r>
      <w:r>
        <w:rPr>
          <w:rFonts w:cs="Arial" w:ascii="Times New Roman" w:hAnsi="Times New Roman"/>
        </w:rPr>
        <w:t xml:space="preserve"> 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40" w:after="40"/>
        <w:ind w:hanging="0" w:left="0"/>
        <w:contextualSpacing w:val="false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 xml:space="preserve">- индексы изменения сметной </w:t>
      </w:r>
      <w:r>
        <w:rPr>
          <w:rFonts w:cs="Arial" w:ascii="Times New Roman" w:hAnsi="Times New Roman"/>
          <w:b/>
        </w:rPr>
        <w:t>стоимости</w:t>
      </w:r>
      <w:r>
        <w:rPr>
          <w:rFonts w:cs="Arial" w:ascii="Times New Roman" w:hAnsi="Times New Roman"/>
        </w:rPr>
        <w:t xml:space="preserve"> </w:t>
      </w:r>
      <w:r>
        <w:rPr>
          <w:rFonts w:cs="Arial" w:ascii="Times New Roman" w:hAnsi="Times New Roman"/>
          <w:b/>
        </w:rPr>
        <w:t>оборудования</w:t>
      </w:r>
      <w:r>
        <w:rPr>
          <w:rFonts w:cs="Arial" w:ascii="Times New Roman" w:hAnsi="Times New Roman"/>
        </w:rPr>
        <w:t xml:space="preserve"> – применяются к сметной стоимости оборудования;</w:t>
      </w:r>
    </w:p>
    <w:p>
      <w:pPr>
        <w:pStyle w:val="ListParagraph"/>
        <w:tabs>
          <w:tab w:val="clear" w:pos="709"/>
          <w:tab w:val="left" w:pos="1134" w:leader="none"/>
        </w:tabs>
        <w:spacing w:lineRule="auto" w:line="240" w:before="40" w:after="40"/>
        <w:ind w:hanging="0" w:left="0"/>
        <w:contextualSpacing w:val="false"/>
        <w:jc w:val="both"/>
        <w:rPr>
          <w:rFonts w:ascii="Times New Roman" w:hAnsi="Times New Roman" w:cs="Arial"/>
        </w:rPr>
      </w:pPr>
      <w:r>
        <w:rPr>
          <w:rFonts w:cs="Arial" w:ascii="Times New Roman" w:hAnsi="Times New Roman"/>
        </w:rPr>
        <w:t xml:space="preserve">- индексы изменения сметной стоимости, рассчитываемые для применения к сметной стоимости отдельных видов </w:t>
      </w:r>
      <w:r>
        <w:rPr>
          <w:rFonts w:cs="Arial" w:ascii="Times New Roman" w:hAnsi="Times New Roman"/>
          <w:b/>
        </w:rPr>
        <w:t>прочих работ и затрат</w:t>
      </w:r>
      <w:r>
        <w:rPr>
          <w:rFonts w:cs="Arial" w:ascii="Times New Roman" w:hAnsi="Times New Roman"/>
        </w:rPr>
        <w:t>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cs="Times New Roman" w:ascii="Times New Roman" w:hAnsi="Times New Roman"/>
          <w:color w:val="000000"/>
          <w:sz w:val="22"/>
          <w:szCs w:val="22"/>
        </w:rPr>
        <w:t xml:space="preserve">В </w:t>
      </w:r>
      <w:r>
        <w:rPr>
          <w:rFonts w:ascii="Times New Roman" w:hAnsi="Times New Roman"/>
          <w:sz w:val="22"/>
        </w:rPr>
        <w:t>сметных</w:t>
      </w:r>
      <w:r>
        <w:rPr>
          <w:rFonts w:cs="Times New Roman" w:ascii="Times New Roman" w:hAnsi="Times New Roman"/>
          <w:color w:val="000000"/>
          <w:sz w:val="24"/>
          <w:szCs w:val="22"/>
        </w:rPr>
        <w:t xml:space="preserve"> </w:t>
      </w:r>
      <w:r>
        <w:rPr>
          <w:rFonts w:cs="Times New Roman" w:ascii="Times New Roman" w:hAnsi="Times New Roman"/>
          <w:color w:val="000000"/>
          <w:sz w:val="22"/>
          <w:szCs w:val="22"/>
        </w:rPr>
        <w:t>расчетах на этапах работ допускается использовать прогнозные среднегодовые индексы-дефляторы по данным Единых сценарных условий, утвержденных приказом от 31.01.2022 № 63 ПАО «РусГидро» «Об утверждении актуализированных Единых сценарных условий Группы РусГидро на период 2022 – 2047 гг». Индексы-дефляторы применяются без разбивки по кварталам.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highlight w:val="none"/>
          <w:shd w:fill="auto" w:val="clear"/>
        </w:rPr>
      </w:pPr>
      <w:r>
        <w:rPr>
          <w:rFonts w:cs="Times New Roman" w:ascii="Times New Roman" w:hAnsi="Times New Roman"/>
          <w:color w:val="000000"/>
          <w:sz w:val="22"/>
          <w:szCs w:val="22"/>
          <w:shd w:fill="auto" w:val="clear"/>
        </w:rPr>
        <w:t>Базовый индекс инфляции (ИПЦ) для целей планирования на 2026 -2027 г , согласно приказа Минстроя России от 23.12.2019 №841/пр (ред. от 14.06.2022) рассчитывается как индекс прогнозной инфляции в программе гранд смета, индекс-дефлятор учитывается в ЛС, коэффициентом к итогам, распространяя коэффициент к прямым затратам на все статьи.</w:t>
      </w:r>
    </w:p>
    <w:p>
      <w:pPr>
        <w:pStyle w:val="ConsPlusNormal1"/>
        <w:widowControl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/>
          <w:color w:val="FF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 xml:space="preserve">В случае, если </w:t>
      </w:r>
      <w:r>
        <w:rPr>
          <w:rFonts w:cs="Times New Roman" w:ascii="Times New Roman" w:hAnsi="Times New Roman"/>
          <w:color w:val="000000"/>
          <w:sz w:val="22"/>
          <w:szCs w:val="22"/>
        </w:rPr>
        <w:t>стоимость рассчитана в текущем уровне цен с применением индексов изменения сметной стоимости, соответствующих году начала строительства</w:t>
      </w:r>
      <w:r>
        <w:rPr>
          <w:rFonts w:ascii="Times New Roman" w:hAnsi="Times New Roman"/>
          <w:color w:val="000000"/>
          <w:sz w:val="22"/>
          <w:szCs w:val="22"/>
        </w:rPr>
        <w:t>, а планируемый период выполнения работ составляет до одного календарного года, то индекс-дефлятор не применяется.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ЕНиР) и «Ведомственных норм и расценок на строительные, монтажные и ремонтно-строительные работы» (далее – ВНиР). Уровень оплаты труда для ЕНиР и ВНиР определять аналогично примененному в сметной документации методу расчета в соответствии с тарифными ставками сборника «Показатели часовой оплаты труда» (далее - ТС 2001), внесенного в ФРСН.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before="0" w:after="0"/>
        <w:ind w:firstLine="709" w:left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отсутствии информации о сметных ценах в ФГИС ЦС по материальным ресурсам и оборудованию, их сметная цена формируется Методом анализа ТКП в соответствии с Методикой формирования п</w:t>
      </w:r>
      <w:r>
        <w:rPr>
          <w:rFonts w:ascii="Times New Roman" w:hAnsi="Times New Roman"/>
          <w:shd w:fill="auto" w:val="clear"/>
        </w:rPr>
        <w:t xml:space="preserve">лановой цены на закупаемую продукцию для организаций Группы РусГидро (далее – Методика ПЦ). </w:t>
      </w:r>
    </w:p>
    <w:p>
      <w:pPr>
        <w:pStyle w:val="ConsPlusNormal1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ЦС, определяется с учетом транспортных и заготовительно-складских затрат.</w:t>
      </w:r>
      <w:r>
        <w:rPr>
          <w:rFonts w:cs="Times New Roman" w:ascii="Times New Roman" w:hAnsi="Times New Roman"/>
          <w:color w:val="FF0000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Транспортные затраты определяются следующими методами:</w:t>
      </w:r>
    </w:p>
    <w:p>
      <w:pPr>
        <w:pStyle w:val="ListParagraph"/>
        <w:numPr>
          <w:ilvl w:val="1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по доставке материальных ресурсов:</w:t>
      </w:r>
      <w:r>
        <w:rPr>
          <w:rFonts w:ascii="Times New Roman" w:hAnsi="Times New Roman"/>
        </w:rPr>
        <w:t xml:space="preserve"> 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widowControl/>
        <w:numPr>
          <w:ilvl w:val="0"/>
          <w:numId w:val="7"/>
        </w:numPr>
        <w:tabs>
          <w:tab w:val="clear" w:pos="709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материальных ресурсов (при невозможности определить затраты указанными выше способами), по решению заказчика.</w:t>
      </w:r>
    </w:p>
    <w:p>
      <w:pPr>
        <w:pStyle w:val="ListParagraph"/>
        <w:numPr>
          <w:ilvl w:val="1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по доставке оборудования</w:t>
      </w:r>
      <w:r>
        <w:rPr>
          <w:rFonts w:ascii="Times New Roman" w:hAnsi="Times New Roman"/>
        </w:rPr>
        <w:t>:</w:t>
      </w:r>
    </w:p>
    <w:p>
      <w:pPr>
        <w:pStyle w:val="ConsPlusNormal1"/>
        <w:widowControl/>
        <w:numPr>
          <w:ilvl w:val="0"/>
          <w:numId w:val="12"/>
        </w:numPr>
        <w:tabs>
          <w:tab w:val="clear" w:pos="709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ЦС;</w:t>
      </w:r>
    </w:p>
    <w:p>
      <w:pPr>
        <w:pStyle w:val="ConsPlusNormal1"/>
        <w:widowControl/>
        <w:numPr>
          <w:ilvl w:val="0"/>
          <w:numId w:val="13"/>
        </w:numPr>
        <w:tabs>
          <w:tab w:val="clear" w:pos="709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Методом анализа ТКП в соответствии с Методикой ПЦ;</w:t>
      </w:r>
    </w:p>
    <w:p>
      <w:pPr>
        <w:pStyle w:val="ConsPlusNormal1"/>
        <w:numPr>
          <w:ilvl w:val="0"/>
          <w:numId w:val="7"/>
        </w:numPr>
        <w:tabs>
          <w:tab w:val="clear" w:pos="709"/>
          <w:tab w:val="left" w:pos="284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размере до 3-х процентов от отпускной цены оборудования (при невозможности определить затраты</w:t>
      </w:r>
      <w:bookmarkStart w:id="1" w:name="_Hlk86255346"/>
      <w:r>
        <w:rPr>
          <w:rFonts w:cs="Times New Roman" w:ascii="Times New Roman" w:hAnsi="Times New Roman"/>
          <w:sz w:val="22"/>
          <w:szCs w:val="22"/>
        </w:rPr>
        <w:t xml:space="preserve"> </w:t>
      </w:r>
      <w:bookmarkEnd w:id="1"/>
      <w:r>
        <w:rPr>
          <w:rFonts w:cs="Times New Roman" w:ascii="Times New Roman" w:hAnsi="Times New Roman"/>
          <w:sz w:val="22"/>
          <w:szCs w:val="22"/>
        </w:rPr>
        <w:t>указанными выше способами), по решению заказчика.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284" w:leader="none"/>
          <w:tab w:val="left" w:pos="1134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Если транспортировка осуществляется заказчиком самостоятельно (самовывоз), данный показатель не учитывается.</w:t>
      </w:r>
    </w:p>
    <w:p>
      <w:pPr>
        <w:pStyle w:val="ListParagraph"/>
        <w:numPr>
          <w:ilvl w:val="0"/>
          <w:numId w:val="5"/>
        </w:numPr>
        <w:tabs>
          <w:tab w:val="clear" w:pos="709"/>
          <w:tab w:val="left" w:pos="851" w:leader="none"/>
        </w:tabs>
        <w:spacing w:lineRule="auto" w:line="240" w:before="40" w:after="40"/>
        <w:ind w:firstLine="567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2% -для материальных ресурсов (кроме металлоконструкций);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0,75%- для металлоконструкций;</w:t>
      </w:r>
    </w:p>
    <w:p>
      <w:pPr>
        <w:pStyle w:val="ConsPlusNormal1"/>
        <w:numPr>
          <w:ilvl w:val="0"/>
          <w:numId w:val="6"/>
        </w:numPr>
        <w:tabs>
          <w:tab w:val="left" w:pos="709" w:leader="none"/>
          <w:tab w:val="left" w:pos="851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1,2% - для оборудования.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Затраты на эксплуатацию строительной техники, не учтенной нормами и расценками, включенными в ФРСН, определяются Методом анализа ТКП в соответствии с Методикой ПЦ и включаются в Главу 9 ССРСС</w:t>
      </w:r>
      <w:r>
        <w:rPr>
          <w:rFonts w:ascii="Times New Roman" w:hAnsi="Times New Roman"/>
          <w:b/>
          <w:color w:val="FF0000"/>
        </w:rPr>
        <w:t>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формировании сметной стоимости в ЛСР (ЛС) отдельно выделяется сметная стоимость по видам оборудования: инженерное; технологическое; лабораторное; транспортные средства; инструмент для технологических процессов; производственный и хозяйственный инвентарь, в т.ч. мебель.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«Excel» и указываются попозиционно.</w:t>
      </w:r>
      <w:r>
        <w:rPr>
          <w:rFonts w:ascii="Times New Roman" w:hAnsi="Times New Roman"/>
          <w:color w:val="FF0000"/>
        </w:rPr>
        <w:t xml:space="preserve"> </w:t>
      </w:r>
      <w:r>
        <w:rPr>
          <w:rFonts w:ascii="Times New Roman" w:hAnsi="Times New Roman"/>
        </w:rPr>
        <w:t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>
      <w:pPr>
        <w:pStyle w:val="ListParagraph"/>
        <w:numPr>
          <w:ilvl w:val="0"/>
          <w:numId w:val="5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Локальные сметные расчеты (сметы) разрабатываются отдельно на исключаемые и дополнительные объемы работ.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Затраты</w:t>
      </w:r>
      <w:r>
        <w:rPr>
          <w:rFonts w:ascii="Times New Roman" w:hAnsi="Times New Roman"/>
        </w:rPr>
        <w:t xml:space="preserve"> на возведение временных зданий и сооружений учитывать в том случае, если они указаны в ПОС, Технических требованиях. Размер средств на устройство и ликвидацию временных зданий и сооружений определяются одним из способов: нормативным методом с применением нормативов затрат на строительство титульных временных зданий и сооружений, сведения о которых включены в ФРСН, расчетным методом на основании ЛСР (ЛС) или калькуляций, в соответствии с данными ПОС. Порядок расчета за возведенные временные здания и сооружения оговаривать в договоре подряда.</w:t>
      </w:r>
    </w:p>
    <w:p>
      <w:pPr>
        <w:pStyle w:val="ListParagraph"/>
        <w:numPr>
          <w:ilvl w:val="0"/>
          <w:numId w:val="5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ab/>
        <w:t>Резерв</w:t>
      </w:r>
      <w:r>
        <w:rPr>
          <w:rFonts w:ascii="Times New Roman" w:hAnsi="Times New Roman"/>
        </w:rPr>
        <w:t xml:space="preserve"> средств на непредвиденные работы и затраты определять в Технических требованиях и начислять в смете в процентах в размере, указанном в утвержденных Технических требованиях. Порядок расчета за непредвиденные работы и затраты оговаривать в договоре подряда.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ФРСН.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ЛСР</w:t>
      </w:r>
      <w:r>
        <w:rPr>
          <w:rFonts w:ascii="Times New Roman" w:hAnsi="Times New Roman"/>
        </w:rPr>
        <w:t xml:space="preserve"> (ЛС) указывать величину сметной прибыли по видам строительных, ремонтно-строительных, монтажных и пусконаладочных работ, на основании актуальных нормативных документов, внесенных в ФРСН.</w:t>
      </w:r>
    </w:p>
    <w:p>
      <w:pPr>
        <w:pStyle w:val="ListParagraph"/>
        <w:numPr>
          <w:ilvl w:val="0"/>
          <w:numId w:val="5"/>
        </w:numPr>
        <w:tabs>
          <w:tab w:val="left" w:pos="284" w:leader="none"/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Сметная</w:t>
      </w:r>
      <w:r>
        <w:rPr>
          <w:rFonts w:ascii="Times New Roman" w:hAnsi="Times New Roman"/>
        </w:rPr>
        <w:t xml:space="preserve">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</w:t>
      </w:r>
      <w:r>
        <w:rPr>
          <w:rFonts w:ascii="Times New Roman" w:hAnsi="Times New Roman"/>
          <w:lang w:val="en-US"/>
        </w:rPr>
        <w:t>VII</w:t>
      </w:r>
      <w:r>
        <w:rPr>
          <w:rFonts w:ascii="Times New Roman" w:hAnsi="Times New Roman"/>
        </w:rPr>
        <w:t xml:space="preserve">. Методики определения сметной стоимости строительства: 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(услуг) не относятся на сметную стоимость строительства и в сметной документации не учитываются. 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</w:t>
      </w:r>
    </w:p>
    <w:p>
      <w:pPr>
        <w:pStyle w:val="ConsPlusNormal1"/>
        <w:tabs>
          <w:tab w:val="left" w:pos="709" w:leader="none"/>
          <w:tab w:val="left" w:pos="851" w:leader="none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Данные работы оформляются отдельными локальными сметами в соответствии </w:t>
      </w:r>
      <w:r>
        <w:rPr>
          <w:rFonts w:cs="Times New Roman" w:ascii="Times New Roman" w:hAnsi="Times New Roman"/>
          <w:color w:val="000000"/>
          <w:sz w:val="22"/>
          <w:szCs w:val="22"/>
          <w:shd w:fill="auto" w:val="clear"/>
        </w:rPr>
        <w:t>с Приложением № 1.5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 к Требованиям по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 и включаются в ССР. 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определяется в соответствии с законодательством РФ и с учетом норм, определяемых внутренним документом организации.</w:t>
      </w:r>
    </w:p>
    <w:p>
      <w:pPr>
        <w:pStyle w:val="ConsPlusNormal1"/>
        <w:widowControl/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30.1 При производстве СМР и ПНР лимиты командировочных расходов при командировании на территории, не относящиеся к районам Крайнего Севера и приравненных к ним местностям, принимать в размере не более: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суточные – 700 руб./сутки;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проживание – 500 руб./сутки;</w:t>
      </w:r>
    </w:p>
    <w:p>
      <w:pPr>
        <w:pStyle w:val="ConsPlusNormal1"/>
        <w:numPr>
          <w:ilvl w:val="0"/>
          <w:numId w:val="3"/>
        </w:numPr>
        <w:tabs>
          <w:tab w:val="clear" w:pos="709"/>
          <w:tab w:val="left" w:pos="567" w:leader="none"/>
          <w:tab w:val="left" w:pos="993" w:leader="none"/>
          <w:tab w:val="left" w:pos="1134" w:leader="none"/>
        </w:tabs>
        <w:spacing w:before="40" w:after="40"/>
        <w:ind w:firstLine="567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проезд: поезд (купе) или самолет (класс–эконом с багажом до 20 (двадцати) кг, ручная кладь до 10 (десяти) кг).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/>
      </w:pPr>
      <w:r>
        <w:rPr>
          <w:rFonts w:ascii="Times New Roman" w:hAnsi="Times New Roman"/>
        </w:rPr>
        <w:t xml:space="preserve">В </w:t>
      </w:r>
      <w:r>
        <w:rPr>
          <w:rFonts w:ascii="Times New Roman" w:hAnsi="Times New Roman"/>
          <w:color w:val="000000"/>
        </w:rPr>
        <w:t>локальных</w:t>
      </w:r>
      <w:r>
        <w:rPr>
          <w:rFonts w:ascii="Times New Roman" w:hAnsi="Times New Roman"/>
        </w:rPr>
        <w:t xml:space="preserve"> сметных расчетах построчные и итоговые суммы </w:t>
      </w:r>
      <w:r>
        <w:rPr>
          <w:rFonts w:ascii="Times New Roman" w:hAnsi="Times New Roman"/>
          <w:b/>
          <w:u w:val="single"/>
        </w:rPr>
        <w:t>округлять: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при ресурсно-индексном и ресурсным методах, а также в сметных расчетах на отдельные виды затрат -</w:t>
      </w:r>
      <w:r>
        <w:rPr>
          <w:rFonts w:cs="Times New Roman" w:ascii="Times New Roman" w:hAnsi="Times New Roman"/>
          <w:b w:val="false"/>
          <w:bCs w:val="false"/>
          <w:i w:val="false"/>
          <w:iCs w:val="false"/>
          <w:sz w:val="22"/>
          <w:szCs w:val="22"/>
        </w:rPr>
        <w:t xml:space="preserve">  в рублях до двух знаков после запятой;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/>
      </w:pPr>
      <w:r>
        <w:rPr>
          <w:rFonts w:cs="Times New Roman" w:ascii="Times New Roman" w:hAnsi="Times New Roman"/>
          <w:sz w:val="22"/>
          <w:szCs w:val="22"/>
        </w:rPr>
        <w:t>в объектных сметных расчетах (сметах), сводном сметном расчете и сводке затрат - в рублях до двух знаков после запятой. Величину НДС не указывать.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Выходные</w:t>
      </w:r>
      <w:r>
        <w:rPr>
          <w:rFonts w:ascii="Times New Roman" w:hAnsi="Times New Roman"/>
        </w:rPr>
        <w:t xml:space="preserve"> формы сметных расчетов должны соответствовать Образцу согласно </w:t>
      </w:r>
      <w:r>
        <w:rPr>
          <w:rFonts w:ascii="Times New Roman" w:hAnsi="Times New Roman"/>
          <w:shd w:fill="auto" w:val="clear"/>
        </w:rPr>
        <w:t>Приложению 1.5.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ССРСС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 Обязательными приложениями к ССРСС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>
        <w:rPr>
          <w:rFonts w:ascii="Times New Roman" w:hAnsi="Times New Roman"/>
          <w:color w:val="000000"/>
        </w:rPr>
        <w:t>Формат ССРСС выполнять по Образцу Приложения № 1.1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перевооружению.</w:t>
      </w:r>
    </w:p>
    <w:p>
      <w:pPr>
        <w:pStyle w:val="ListParagraph"/>
        <w:numPr>
          <w:ilvl w:val="0"/>
          <w:numId w:val="5"/>
        </w:numPr>
        <w:tabs>
          <w:tab w:val="left" w:pos="709" w:leader="none"/>
          <w:tab w:val="left" w:pos="851" w:leader="none"/>
          <w:tab w:val="left" w:pos="1276" w:leader="none"/>
        </w:tabs>
        <w:spacing w:lineRule="auto" w:line="240" w:before="40" w:after="40"/>
        <w:ind w:firstLine="709" w:left="0"/>
        <w:contextualSpacing w:val="false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Сметная документация должна быть представлена в двух вариантах: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  <w:tab w:val="left" w:pos="1134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на бумажном носителе (количество указано в конкурсной документации) Образец ЛСР в соответствии с </w:t>
      </w:r>
      <w:r>
        <w:rPr>
          <w:rFonts w:cs="Times New Roman" w:ascii="Times New Roman" w:hAnsi="Times New Roman"/>
          <w:sz w:val="22"/>
          <w:szCs w:val="22"/>
          <w:shd w:fill="auto" w:val="clear"/>
        </w:rPr>
        <w:t>приложением № 1.5</w:t>
      </w:r>
      <w:r>
        <w:rPr>
          <w:rFonts w:cs="Times New Roman" w:ascii="Times New Roman" w:hAnsi="Times New Roman"/>
          <w:sz w:val="22"/>
          <w:szCs w:val="22"/>
        </w:rPr>
        <w:t xml:space="preserve"> к Требованиям к оформлению и составлению сметной документации на выполнение строительно-монтажных работ по программе ремонтов, реконструкции и техническому перевооружению;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на электронном носителе (в формате «xml» ПК «Гранд-Смета», «Excel», «pdf»), полностью соответствующему, бумажному варианту. Сметная документация в формате «Excel» должна быть представлена в одном файле с внесением ССР, ЛСР и других расчетов на отдельные листы (вкладки) документа.</w:t>
      </w:r>
    </w:p>
    <w:p>
      <w:pPr>
        <w:pStyle w:val="ConsPlusNormal1"/>
        <w:numPr>
          <w:ilvl w:val="0"/>
          <w:numId w:val="3"/>
        </w:numPr>
        <w:tabs>
          <w:tab w:val="left" w:pos="709" w:leader="none"/>
          <w:tab w:val="left" w:pos="851" w:leader="none"/>
        </w:tabs>
        <w:spacing w:before="40" w:after="40"/>
        <w:ind w:firstLine="709" w:left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в формате ПК «Гранд-смета» выходная форма для печати указана ниже:</w:t>
      </w:r>
    </w:p>
    <w:p>
      <w:pPr>
        <w:pStyle w:val="Normal"/>
        <w:spacing w:lineRule="auto" w:line="240" w:before="0" w:after="0"/>
        <w:ind w:firstLine="720"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firstLine="720"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firstLine="720"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firstLine="720"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firstLine="720" w:left="737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firstLine="720"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</w:p>
    <w:p>
      <w:pPr>
        <w:pStyle w:val="Normal"/>
        <w:spacing w:lineRule="auto" w:line="240" w:before="0" w:after="0"/>
        <w:ind w:firstLine="720"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907530" cy="366903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7530" cy="3669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ind w:firstLine="720" w:left="5811"/>
        <w:rPr>
          <w:rFonts w:ascii="Times New Roman" w:hAnsi="Times New Roman"/>
          <w:color w:val="000000"/>
          <w:sz w:val="20"/>
          <w:szCs w:val="20"/>
          <w:highlight w:val="yellow"/>
        </w:rPr>
      </w:pPr>
      <w:r>
        <w:rPr>
          <w:rFonts w:ascii="Times New Roman" w:hAnsi="Times New Roman"/>
          <w:color w:val="000000"/>
          <w:sz w:val="20"/>
          <w:szCs w:val="20"/>
          <w:highlight w:val="yellow"/>
        </w:rPr>
      </w:r>
      <w:r>
        <w:br w:type="page"/>
      </w:r>
    </w:p>
    <w:p>
      <w:pPr>
        <w:pStyle w:val="Normal"/>
        <w:spacing w:lineRule="auto" w:line="240" w:before="0" w:after="0"/>
        <w:jc w:val="right"/>
        <w:rPr/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 1 </w:t>
      </w:r>
    </w:p>
    <w:p>
      <w:pPr>
        <w:pStyle w:val="Normal"/>
        <w:spacing w:lineRule="auto" w:line="240" w:before="0" w:after="0"/>
        <w:ind w:hanging="0" w:left="5811"/>
        <w:jc w:val="right"/>
        <w:rPr/>
      </w:pPr>
      <w:r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>
      <w:pPr>
        <w:pStyle w:val="Normal"/>
        <w:spacing w:lineRule="auto" w:line="240" w:before="0" w:after="0"/>
        <w:ind w:firstLine="720" w:left="5811"/>
        <w:jc w:val="right"/>
        <w:rPr/>
      </w:pPr>
      <w:r>
        <w:rPr>
          <w:rFonts w:ascii="Times New Roman" w:hAnsi="Times New Roman"/>
          <w:color w:val="000000"/>
          <w:sz w:val="20"/>
          <w:u w:val="single"/>
        </w:rPr>
        <w:t>на выполнение работ по программе строительства, реконструкции и техническому перевооружению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к договорам на строительство и дополнительным соглашениям к указанным договорам.</w:t>
      </w:r>
    </w:p>
    <w:p>
      <w:pPr>
        <w:pStyle w:val="ConsPlusNormal1"/>
        <w:widowControl/>
        <w:ind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При наличии двух и более сметных расчетов составлять ССРСС в текущем уровне цен по форме Приложения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1.1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>сметной документации на выполнение строительно-монтажных работ по программе ремонтов, реконструкции и техническому перевооружению по образцу.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</w:t>
      </w:r>
      <w:r>
        <w:rPr>
          <w:rFonts w:cs="Times New Roman" w:ascii="Times New Roman" w:hAnsi="Times New Roman"/>
          <w:color w:val="000000"/>
          <w:sz w:val="22"/>
          <w:szCs w:val="22"/>
        </w:rPr>
        <w:t>ЛСР (</w:t>
      </w:r>
      <w:r>
        <w:rPr>
          <w:rFonts w:ascii="Times New Roman" w:hAnsi="Times New Roman"/>
          <w:color w:val="000000"/>
          <w:sz w:val="22"/>
        </w:rPr>
        <w:t xml:space="preserve">ЛС) к основному договору и ко всем заключенным д/с к нему. В итогах ССРСС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ССРСС очередного д/с и стоимостью основного договора. Форма ССРСС с учетом заключения д/с к договору приведена в Приложении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№ 1.2 к </w:t>
      </w:r>
      <w:r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ЛСР (ЛС) образец приведен в </w:t>
      </w:r>
      <w:r>
        <w:rPr>
          <w:rFonts w:ascii="Times New Roman" w:hAnsi="Times New Roman"/>
          <w:color w:val="000000"/>
          <w:sz w:val="22"/>
          <w:shd w:fill="auto" w:val="clear"/>
        </w:rPr>
        <w:t>Приложении № 1.5</w:t>
      </w:r>
      <w:r>
        <w:rPr>
          <w:rFonts w:ascii="Times New Roman" w:hAnsi="Times New Roman"/>
          <w:color w:val="000000"/>
          <w:sz w:val="22"/>
        </w:rPr>
        <w:t xml:space="preserve">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</w:t>
      </w:r>
      <w:r>
        <w:rPr>
          <w:rFonts w:ascii="Times New Roman" w:hAnsi="Times New Roman"/>
          <w:color w:val="000000"/>
          <w:sz w:val="22"/>
          <w:shd w:fill="auto" w:val="clear"/>
        </w:rPr>
        <w:t xml:space="preserve"> Приложениям №№ 1.3 и 1.4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к Требованиям </w:t>
      </w:r>
      <w:r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сметной документации на выполнение строительно-монтажных работ по программе ремонтов, реконструкции и техническому перевооружению.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ЛС являются приложениями к ССРСС. Нумерация приложений указывается по мере включения ЛС в ССР в накопительной форме - по порядку. 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>
      <w:p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ССРСС, построчные и итоговые суммы </w:t>
      </w:r>
      <w:r>
        <w:rPr>
          <w:rFonts w:cs="Times New Roman" w:ascii="Times New Roman" w:hAnsi="Times New Roman"/>
          <w:color w:val="000000"/>
          <w:sz w:val="22"/>
          <w:szCs w:val="22"/>
        </w:rPr>
        <w:t xml:space="preserve">указывать </w:t>
      </w:r>
      <w:r>
        <w:rPr>
          <w:rFonts w:ascii="Times New Roman" w:hAnsi="Times New Roman"/>
          <w:color w:val="000000"/>
          <w:sz w:val="22"/>
        </w:rPr>
        <w:t>в рублях с округлением до двух знаков после запятой. Величину НДС не указывать.</w:t>
      </w:r>
    </w:p>
    <w:p>
      <w:pPr>
        <w:sectPr>
          <w:footerReference w:type="default" r:id="rId3"/>
          <w:type w:val="nextPage"/>
          <w:pgSz w:w="11906" w:h="16838"/>
          <w:pgMar w:left="1304" w:right="924" w:gutter="0" w:header="0" w:top="539" w:footer="709" w:bottom="1134"/>
          <w:pgNumType w:fmt="decimal"/>
          <w:formProt w:val="false"/>
          <w:textDirection w:val="lrTb"/>
          <w:docGrid w:type="default" w:linePitch="360" w:charSpace="0"/>
        </w:sectPr>
        <w:pStyle w:val="ConsPlusNormal1"/>
        <w:widowControl/>
        <w:numPr>
          <w:ilvl w:val="0"/>
          <w:numId w:val="4"/>
        </w:numPr>
        <w:tabs>
          <w:tab w:val="clear" w:pos="709"/>
          <w:tab w:val="left" w:pos="993" w:leader="none"/>
        </w:tabs>
        <w:ind w:firstLine="709" w:left="0"/>
        <w:jc w:val="both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r>
        <w:rPr>
          <w:rFonts w:ascii="Times New Roman" w:hAnsi="Times New Roman"/>
          <w:color w:val="000000"/>
          <w:sz w:val="22"/>
        </w:rPr>
        <w:t xml:space="preserve">ТПиР).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</w:t>
      </w:r>
    </w:p>
    <w:p>
      <w:pPr>
        <w:pStyle w:val="ConsPlusNormal1"/>
        <w:ind w:firstLine="720"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</w:rPr>
        <w:t>Приложение № 1.1</w:t>
      </w:r>
    </w:p>
    <w:p>
      <w:pPr>
        <w:pStyle w:val="ConsPlusNormal1"/>
        <w:ind w:firstLine="720" w:left="57"/>
        <w:rPr>
          <w:rFonts w:ascii="Times New Roman" w:hAnsi="Times New Roman"/>
        </w:rPr>
      </w:pPr>
      <w:r>
        <w:rPr>
          <w:rFonts w:ascii="Times New Roman" w:hAnsi="Times New Roman"/>
          <w:b/>
          <w:sz w:val="22"/>
          <w:szCs w:val="22"/>
        </w:rPr>
        <w:t xml:space="preserve">ОБРАЗЕЦ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>
      <w:pPr>
        <w:pStyle w:val="ConsPlusNormal1"/>
        <w:ind w:hanging="0"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Требованиям к оформлению и составлению сводного сметного расчета к договорам на строительство, реконструкцию, техническое перевооружение и дополнительным соглашениям к указанным договорам </w:t>
      </w:r>
    </w:p>
    <w:p>
      <w:pPr>
        <w:pStyle w:val="ConsPlusNormal1"/>
        <w:ind w:firstLine="720"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</w:rPr>
        <w:t xml:space="preserve">Приложение №___                                                                                    к договору от_______№_____ </w:t>
      </w:r>
      <w:r>
        <w:rPr>
          <w:rFonts w:ascii="Times New Roman" w:hAnsi="Times New Roman"/>
          <w:lang w:val="en-US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2" w:name="P2566_Копия_1"/>
      <w:bookmarkStart w:id="3" w:name="P2529_Копия_1"/>
      <w:bookmarkStart w:id="4" w:name="P2530_Копия_1"/>
      <w:bookmarkStart w:id="5" w:name="P2526_Копия_1"/>
      <w:bookmarkStart w:id="6" w:name="P2945_Копия_1"/>
      <w:bookmarkStart w:id="7" w:name="P2528_Копия_1"/>
      <w:bookmarkStart w:id="8" w:name="P2527_Копия_1"/>
      <w:bookmarkStart w:id="9" w:name="P2506_Копия_1"/>
      <w:bookmarkStart w:id="10" w:name="P2524_Копия_1"/>
      <w:bookmarkStart w:id="11" w:name="P3258_Копия_1"/>
      <w:bookmarkStart w:id="12" w:name="P2546_Копия_1"/>
      <w:bookmarkStart w:id="13" w:name="P2523_Копия_1"/>
      <w:bookmarkStart w:id="14" w:name="P2736_Копия_1"/>
      <w:bookmarkStart w:id="15" w:name="P2525_Копия_1"/>
      <w:bookmarkStart w:id="16" w:name="P2522_Копия_1"/>
      <w:bookmarkStart w:id="17" w:name="P2531_Копия_1"/>
      <w:bookmarkStart w:id="18" w:name="P2616_Копия_1"/>
      <w:bookmarkStart w:id="19" w:name="P2746_Копия_1"/>
      <w:bookmarkStart w:id="20" w:name="P2566_Копия_1"/>
      <w:bookmarkStart w:id="21" w:name="P2529_Копия_1"/>
      <w:bookmarkStart w:id="22" w:name="P2530_Копия_1"/>
      <w:bookmarkStart w:id="23" w:name="P2526_Копия_1"/>
      <w:bookmarkStart w:id="24" w:name="P2945_Копия_1"/>
      <w:bookmarkStart w:id="25" w:name="P2528_Копия_1"/>
      <w:bookmarkStart w:id="26" w:name="P2527_Копия_1"/>
      <w:bookmarkStart w:id="27" w:name="P2506_Копия_1"/>
      <w:bookmarkStart w:id="28" w:name="P2524_Копия_1"/>
      <w:bookmarkStart w:id="29" w:name="P3258_Копия_1"/>
      <w:bookmarkStart w:id="30" w:name="P2546_Копия_1"/>
      <w:bookmarkStart w:id="31" w:name="P2523_Копия_1"/>
      <w:bookmarkStart w:id="32" w:name="P2736_Копия_1"/>
      <w:bookmarkStart w:id="33" w:name="P2525_Копия_1"/>
      <w:bookmarkStart w:id="34" w:name="P2522_Копия_1"/>
      <w:bookmarkStart w:id="35" w:name="P2531_Копия_1"/>
      <w:bookmarkStart w:id="36" w:name="P2616_Копия_1"/>
      <w:bookmarkStart w:id="37" w:name="P2746_Копия_1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3464"/>
        <w:gridCol w:w="7450"/>
      </w:tblGrid>
      <w:tr>
        <w:trPr>
          <w:trHeight w:val="1158" w:hRule="atLeast"/>
        </w:trPr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 w:left="283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b/>
              </w:rPr>
              <w:t>СОГЛАСОВАНО</w:t>
            </w:r>
            <w:r>
              <w:rPr>
                <w:rFonts w:cs="Times New Roman" w:ascii="Times New Roman" w:hAnsi="Times New Roman"/>
              </w:rPr>
              <w:t>:</w:t>
            </w:r>
          </w:p>
          <w:p>
            <w:pPr>
              <w:pStyle w:val="ConsPlusNormal1"/>
              <w:widowControl w:val="false"/>
              <w:ind w:hanging="0" w:right="-909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______________(Подрядчик )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0" w:leader="none"/>
              </w:tabs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_______________(ФИО)</w:t>
            </w:r>
          </w:p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ConsPlusNormal1"/>
              <w:widowControl w:val="false"/>
              <w:ind w:hanging="142" w:left="142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Заказчик:______________________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firstLine="720" w:right="-385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b/>
              </w:rPr>
              <w:t>УТВЕРЖДАЮ:</w:t>
            </w:r>
          </w:p>
          <w:p>
            <w:pPr>
              <w:pStyle w:val="ConsPlusNormal1"/>
              <w:widowControl w:val="false"/>
              <w:ind w:hanging="0" w:right="-909"/>
              <w:rPr>
                <w:rFonts w:ascii="Times New Roman" w:hAnsi="Times New Roman" w:cs="Times New Roman"/>
                <w:sz w:val="22"/>
              </w:rPr>
            </w:pPr>
            <w:r>
              <w:rPr>
                <w:rFonts w:cs="Times New Roman" w:ascii="Times New Roman" w:hAnsi="Times New Roman"/>
                <w:b/>
              </w:rPr>
              <w:t xml:space="preserve">                                                              </w:t>
            </w:r>
            <w:r>
              <w:rPr>
                <w:rFonts w:cs="Times New Roman" w:ascii="Times New Roman" w:hAnsi="Times New Roman"/>
                <w:b/>
                <w:sz w:val="22"/>
              </w:rPr>
              <w:t xml:space="preserve">                             </w:t>
            </w:r>
            <w:r>
              <w:rPr>
                <w:rFonts w:cs="Times New Roman" w:ascii="Times New Roman" w:hAnsi="Times New Roman"/>
                <w:sz w:val="22"/>
              </w:rPr>
              <w:t>_____________(Заказчик )</w:t>
            </w:r>
          </w:p>
          <w:p>
            <w:pPr>
              <w:pStyle w:val="ConsPlusNormal1"/>
              <w:widowControl w:val="false"/>
              <w:ind w:firstLine="720" w:left="25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cs="Times New Roman" w:ascii="Times New Roman" w:hAnsi="Times New Roman"/>
                <w:sz w:val="22"/>
              </w:rPr>
              <w:t xml:space="preserve">                  </w:t>
            </w:r>
            <w:r>
              <w:rPr>
                <w:rFonts w:cs="Times New Roman" w:ascii="Times New Roman" w:hAnsi="Times New Roman"/>
                <w:sz w:val="22"/>
              </w:rPr>
              <w:t>______________(</w:t>
            </w:r>
            <w:r>
              <w:rPr>
                <w:rFonts w:cs="Times New Roman" w:ascii="Times New Roman" w:hAnsi="Times New Roman"/>
              </w:rPr>
              <w:t>ФИО)</w:t>
            </w:r>
          </w:p>
        </w:tc>
      </w:tr>
      <w:tr>
        <w:trPr/>
        <w:tc>
          <w:tcPr>
            <w:tcW w:w="3464" w:type="dxa"/>
            <w:tcBorders/>
            <w:shd w:color="auto" w:fill="auto" w:val="clear"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  <w:tc>
          <w:tcPr>
            <w:tcW w:w="7450" w:type="dxa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14" w:type="dxa"/>
            <w:gridSpan w:val="2"/>
            <w:tcBorders/>
            <w:shd w:color="auto" w:fill="auto" w:val="clear"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</w:rPr>
              <w:t>Утвержден: __ ______________202__ г.</w:t>
            </w:r>
          </w:p>
        </w:tc>
      </w:tr>
    </w:tbl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>
          <w:trHeight w:val="22" w:hRule="atLeast"/>
        </w:trPr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/>
      </w:pPr>
      <w:r>
        <w:rPr/>
      </w:r>
    </w:p>
    <w:tbl>
      <w:tblPr>
        <w:tblW w:w="10982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633"/>
        <w:gridCol w:w="996"/>
        <w:gridCol w:w="281"/>
        <w:gridCol w:w="1272"/>
        <w:gridCol w:w="365"/>
        <w:gridCol w:w="1344"/>
        <w:gridCol w:w="426"/>
        <w:gridCol w:w="1133"/>
        <w:gridCol w:w="1564"/>
        <w:gridCol w:w="1418"/>
        <w:gridCol w:w="1548"/>
      </w:tblGrid>
      <w:tr>
        <w:trPr>
          <w:trHeight w:val="212" w:hRule="atLeast"/>
        </w:trPr>
        <w:tc>
          <w:tcPr>
            <w:tcW w:w="6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hanging="0" w:left="0"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Nп/п</w:t>
            </w:r>
          </w:p>
        </w:tc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15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79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019" w:hRule="atLeast"/>
        </w:trPr>
        <w:tc>
          <w:tcPr>
            <w:tcW w:w="63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553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4" w:left="1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 w:lef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273" w:hRule="atLeast"/>
        </w:trPr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firstLine="57" w:left="0" w:right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>
          <w:trHeight w:val="327" w:hRule="atLeast"/>
        </w:trPr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tabs>
                <w:tab w:val="clear" w:pos="709"/>
                <w:tab w:val="left" w:pos="567" w:leader="none"/>
                <w:tab w:val="left" w:pos="2091" w:leader="none"/>
              </w:tabs>
              <w:ind w:hanging="425" w:left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    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Руководитель</w:t>
            </w:r>
          </w:p>
          <w:p>
            <w:pPr>
              <w:pStyle w:val="ConsPlusNormal1"/>
              <w:widowControl w:val="false"/>
              <w:tabs>
                <w:tab w:val="clear" w:pos="709"/>
                <w:tab w:val="left" w:pos="851" w:leader="none"/>
              </w:tabs>
              <w:ind w:hanging="141" w:left="17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35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74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1" w:left="-90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Начальник</w:t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отдела</w:t>
            </w:r>
          </w:p>
        </w:tc>
        <w:tc>
          <w:tcPr>
            <w:tcW w:w="5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(наименование)</w:t>
            </w:r>
          </w:p>
        </w:tc>
        <w:tc>
          <w:tcPr>
            <w:tcW w:w="17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  <w:tr>
        <w:trPr/>
        <w:tc>
          <w:tcPr>
            <w:tcW w:w="1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283" w:left="284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Заказчик</w:t>
            </w:r>
          </w:p>
        </w:tc>
        <w:tc>
          <w:tcPr>
            <w:tcW w:w="90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ind w:firstLine="720" w:left="35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firstLine="720" w:left="35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firstLine="720" w:left="397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720" w:left="397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ind w:firstLine="720" w:left="397"/>
        <w:rPr>
          <w:rFonts w:ascii="Times New Roman" w:hAnsi="Times New Roman"/>
        </w:rPr>
      </w:pPr>
      <w:r>
        <w:rPr>
          <w:rFonts w:ascii="Times New Roman" w:hAnsi="Times New Roman"/>
          <w:b/>
        </w:rPr>
        <w:t>ОБРАЗЕЦ</w:t>
      </w:r>
      <w:r>
        <w:rPr>
          <w:rFonts w:ascii="Times New Roman" w:hAnsi="Times New Roman"/>
        </w:rPr>
        <w:t xml:space="preserve">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Приложение №1.2 </w:t>
      </w: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2098" w:left="8617" w:right="0"/>
        <w:jc w:val="left"/>
        <w:rPr/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widowControl w:val="false"/>
        <w:suppressAutoHyphens w:val="true"/>
        <w:bidi w:val="0"/>
        <w:spacing w:before="0" w:after="0"/>
        <w:ind w:hanging="0" w:left="5839" w:right="0"/>
        <w:jc w:val="left"/>
        <w:rPr/>
      </w:pPr>
      <w:r>
        <w:rPr>
          <w:rFonts w:ascii="Times New Roman" w:hAnsi="Times New Roman"/>
        </w:rPr>
        <w:t>к Требованиям к оформлению и составлению сводного сметного расчета к договорам на строительство, реконструкцию, техническое перевооружение и дополнительным соглашениям к указанным договорам</w:t>
      </w:r>
    </w:p>
    <w:p>
      <w:pPr>
        <w:pStyle w:val="ConsPlusNormal1"/>
        <w:ind w:firstLine="720" w:left="5811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tabs>
          <w:tab w:val="clear" w:pos="709"/>
          <w:tab w:val="left" w:pos="6804" w:leader="none"/>
        </w:tabs>
        <w:ind w:firstLine="720"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</w:t>
      </w:r>
      <w:r>
        <w:rPr>
          <w:rFonts w:ascii="Times New Roman" w:hAnsi="Times New Roman"/>
        </w:rPr>
        <w:t>Приложение №___</w:t>
      </w:r>
    </w:p>
    <w:p>
      <w:pPr>
        <w:pStyle w:val="ConsPlusNormal1"/>
        <w:tabs>
          <w:tab w:val="clear" w:pos="709"/>
          <w:tab w:val="left" w:pos="6946" w:leader="none"/>
        </w:tabs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firstLine="720"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к договору от________№_____ </w:t>
      </w:r>
    </w:p>
    <w:tbl>
      <w:tblPr>
        <w:tblW w:w="10915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222"/>
        <w:gridCol w:w="9692"/>
      </w:tblGrid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                        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9692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222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9692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организации)</w:t>
            </w:r>
          </w:p>
        </w:tc>
      </w:tr>
      <w:tr>
        <w:trPr/>
        <w:tc>
          <w:tcPr>
            <w:tcW w:w="10914" w:type="dxa"/>
            <w:gridSpan w:val="2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Утвержден __ 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215"/>
        <w:gridCol w:w="2664"/>
        <w:gridCol w:w="3098"/>
      </w:tblGrid>
      <w:tr>
        <w:trPr/>
        <w:tc>
          <w:tcPr>
            <w:tcW w:w="5215" w:type="dxa"/>
            <w:tcBorders/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3098" w:type="dxa"/>
            <w:tcBorders/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руб.</w:t>
            </w:r>
          </w:p>
        </w:tc>
      </w:tr>
      <w:tr>
        <w:trPr/>
        <w:tc>
          <w:tcPr>
            <w:tcW w:w="10977" w:type="dxa"/>
            <w:gridSpan w:val="3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gridSpan w:val="3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(ссылка на документ об утверждении)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977" w:type="dxa"/>
        <w:jc w:val="lef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10977"/>
      </w:tblGrid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СВОДНЫЙ СМЕТНЫЙ РАСЧЕТ</w:t>
            </w:r>
          </w:p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N ССРСС-________</w:t>
            </w:r>
          </w:p>
        </w:tc>
      </w:tr>
      <w:tr>
        <w:trPr/>
        <w:tc>
          <w:tcPr>
            <w:tcW w:w="10977" w:type="dxa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0977" w:type="dxa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 стройки)</w:t>
            </w:r>
          </w:p>
        </w:tc>
      </w:tr>
      <w:tr>
        <w:trPr/>
        <w:tc>
          <w:tcPr>
            <w:tcW w:w="10977" w:type="dxa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>
      <w:pPr>
        <w:pStyle w:val="ConsPlusNormal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10708" w:type="dxa"/>
        <w:jc w:val="left"/>
        <w:tblInd w:w="41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565"/>
        <w:gridCol w:w="853"/>
        <w:gridCol w:w="292"/>
        <w:gridCol w:w="1638"/>
        <w:gridCol w:w="287"/>
        <w:gridCol w:w="1469"/>
        <w:gridCol w:w="15"/>
        <w:gridCol w:w="1262"/>
        <w:gridCol w:w="1425"/>
        <w:gridCol w:w="1135"/>
        <w:gridCol w:w="1765"/>
      </w:tblGrid>
      <w:tr>
        <w:trPr>
          <w:trHeight w:val="311" w:hRule="atLeast"/>
        </w:trPr>
        <w:tc>
          <w:tcPr>
            <w:tcW w:w="5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hanging="57" w:left="0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Nп/п</w:t>
            </w:r>
          </w:p>
        </w:tc>
        <w:tc>
          <w:tcPr>
            <w:tcW w:w="8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</w:t>
            </w:r>
          </w:p>
        </w:tc>
        <w:tc>
          <w:tcPr>
            <w:tcW w:w="221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70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Сметная стоимость, руб.</w:t>
            </w:r>
          </w:p>
        </w:tc>
      </w:tr>
      <w:tr>
        <w:trPr>
          <w:trHeight w:val="1294" w:hRule="atLeast"/>
        </w:trPr>
        <w:tc>
          <w:tcPr>
            <w:tcW w:w="56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4" w:left="19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оборудования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 w:left="-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прочих затрат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</w:t>
            </w:r>
          </w:p>
        </w:tc>
      </w:tr>
      <w:tr>
        <w:trPr>
          <w:trHeight w:val="144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firstLine="170" w:left="0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firstLine="227" w:left="57" w:righ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107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Сметы основного договора</w:t>
            </w:r>
          </w:p>
        </w:tc>
      </w:tr>
      <w:tr>
        <w:trPr>
          <w:trHeight w:val="287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firstLine="227" w:left="0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39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firstLine="283" w:left="0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firstLine="283" w:left="0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сметам основного договора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1070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firstLine="283" w:left="0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firstLine="283" w:left="0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включено дополнительным соглашением № 1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0141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suppressAutoHyphens w:val="true"/>
              <w:bidi w:val="0"/>
              <w:spacing w:before="0" w:after="0"/>
              <w:ind w:firstLine="227" w:left="0" w:right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главе №: __________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Итого по главам №№: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Всего по ССР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283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  <w:u w:val="single"/>
              </w:rPr>
              <w:t>Справочно</w:t>
            </w: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.</w:t>
            </w:r>
          </w:p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i/>
                <w:i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1, без НДС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321" w:hRule="atLeast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2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i/>
                <w:sz w:val="18"/>
                <w:szCs w:val="18"/>
              </w:rPr>
              <w:t>Сумма изменения</w:t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tabs>
                <w:tab w:val="clear" w:pos="709"/>
                <w:tab w:val="left" w:pos="2091" w:leader="none"/>
              </w:tabs>
              <w:ind w:hanging="425" w:left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Руководитель</w:t>
            </w:r>
          </w:p>
          <w:p>
            <w:pPr>
              <w:pStyle w:val="ConsPlusNormal1"/>
              <w:widowControl w:val="false"/>
              <w:ind w:hanging="425" w:left="425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       </w:t>
            </w:r>
            <w:r>
              <w:rPr>
                <w:rFonts w:cs="Times New Roman" w:ascii="Times New Roman" w:hAnsi="Times New Roman"/>
              </w:rPr>
              <w:t>проектной организации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ind w:hanging="141" w:lef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Главный инженер проекта</w:t>
            </w:r>
          </w:p>
        </w:tc>
        <w:tc>
          <w:tcPr>
            <w:tcW w:w="7358" w:type="dxa"/>
            <w:gridSpan w:val="7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3348" w:type="dxa"/>
            <w:gridSpan w:val="4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7358" w:type="dxa"/>
            <w:gridSpan w:val="7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ind w:firstLine="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Начальник</w:t>
            </w:r>
          </w:p>
        </w:tc>
        <w:tc>
          <w:tcPr>
            <w:tcW w:w="1925" w:type="dxa"/>
            <w:gridSpan w:val="2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484" w:type="dxa"/>
            <w:gridSpan w:val="2"/>
            <w:tcBorders/>
          </w:tcPr>
          <w:p>
            <w:pPr>
              <w:pStyle w:val="ConsPlusNormal1"/>
              <w:widowControl w:val="false"/>
              <w:ind w:hanging="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отдела</w:t>
            </w:r>
          </w:p>
        </w:tc>
        <w:tc>
          <w:tcPr>
            <w:tcW w:w="5587" w:type="dxa"/>
            <w:gridSpan w:val="4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925" w:type="dxa"/>
            <w:gridSpan w:val="2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ind w:hanging="198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(наименование)</w:t>
            </w:r>
          </w:p>
        </w:tc>
        <w:tc>
          <w:tcPr>
            <w:tcW w:w="1484" w:type="dxa"/>
            <w:gridSpan w:val="2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5587" w:type="dxa"/>
            <w:gridSpan w:val="4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[подпись (инициалы, фамилия)]</w:t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ind w:hanging="141" w:left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 </w:t>
            </w:r>
            <w:r>
              <w:rPr>
                <w:rFonts w:cs="Times New Roman" w:ascii="Times New Roman" w:hAnsi="Times New Roman"/>
              </w:rPr>
              <w:t>Заказчик</w:t>
            </w:r>
          </w:p>
        </w:tc>
        <w:tc>
          <w:tcPr>
            <w:tcW w:w="8996" w:type="dxa"/>
            <w:gridSpan w:val="8"/>
            <w:tcBorders>
              <w:bottom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</w:tr>
      <w:tr>
        <w:trPr/>
        <w:tc>
          <w:tcPr>
            <w:tcW w:w="1710" w:type="dxa"/>
            <w:gridSpan w:val="3"/>
            <w:tcBorders/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8996" w:type="dxa"/>
            <w:gridSpan w:val="8"/>
            <w:tcBorders>
              <w:top w:val="single" w:sz="4" w:space="0" w:color="000000"/>
            </w:tcBorders>
          </w:tcPr>
          <w:p>
            <w:pPr>
              <w:pStyle w:val="ConsPlusNormal1"/>
              <w:widowControl w:val="false"/>
              <w:jc w:val="center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[должность, подпись (инициалы, фамилия)]</w:t>
            </w:r>
          </w:p>
        </w:tc>
      </w:tr>
    </w:tbl>
    <w:p>
      <w:pPr>
        <w:sectPr>
          <w:footerReference w:type="default" r:id="rId4"/>
          <w:footerReference w:type="first" r:id="rId5"/>
          <w:type w:val="nextPage"/>
          <w:pgSz w:w="11906" w:h="16838"/>
          <w:pgMar w:left="426" w:right="567" w:gutter="0" w:header="0" w:top="0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Normal"/>
        <w:spacing w:lineRule="auto" w:line="240" w:before="0"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</w:p>
    <w:p>
      <w:pPr>
        <w:pStyle w:val="Normal"/>
        <w:spacing w:lineRule="auto" w:line="240" w:before="0" w:after="0"/>
        <w:ind w:hanging="426" w:left="42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ОБРАЗЕЦ</w:t>
      </w:r>
    </w:p>
    <w:p>
      <w:pPr>
        <w:pStyle w:val="Normal"/>
        <w:spacing w:lineRule="auto" w:line="240" w:before="0" w:after="0"/>
        <w:ind w:firstLine="720" w:left="581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Приложение №1.3 </w:t>
      </w:r>
    </w:p>
    <w:p>
      <w:pPr>
        <w:pStyle w:val="ConsPlusNormal1"/>
        <w:ind w:firstLine="720" w:left="581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pStyle w:val="ConsPlusNormal1"/>
        <w:widowControl w:val="false"/>
        <w:suppressAutoHyphens w:val="true"/>
        <w:bidi w:val="0"/>
        <w:spacing w:before="0" w:after="0"/>
        <w:ind w:hanging="57" w:left="5839" w:right="0"/>
        <w:jc w:val="left"/>
        <w:rPr/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к Требованиям к оформлению и составлению</w:t>
      </w:r>
      <w:r>
        <w:rPr/>
        <w:t xml:space="preserve"> </w:t>
      </w:r>
      <w:r>
        <w:rPr>
          <w:rFonts w:ascii="Times New Roman" w:hAnsi="Times New Roman"/>
        </w:rPr>
        <w:t xml:space="preserve">сводного сметного расчета к договорам на строительство, реконструкцию, техническое перевооружение и ремонт и дополнительным соглашениям к указанным договорам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firstLine="720"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</w:t>
      </w:r>
      <w:r>
        <w:rPr>
          <w:rFonts w:ascii="Times New Roman" w:hAnsi="Times New Roman"/>
        </w:rPr>
        <w:t xml:space="preserve">к договору от_______№_____ </w:t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</w:p>
    <w:tbl>
      <w:tblPr>
        <w:tblW w:w="10206" w:type="dxa"/>
        <w:jc w:val="left"/>
        <w:tblInd w:w="5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4"/>
        <w:gridCol w:w="851"/>
        <w:gridCol w:w="850"/>
        <w:gridCol w:w="1278"/>
        <w:gridCol w:w="1278"/>
        <w:gridCol w:w="1699"/>
        <w:gridCol w:w="1709"/>
        <w:gridCol w:w="2115"/>
      </w:tblGrid>
      <w:tr>
        <w:trPr>
          <w:trHeight w:val="433" w:hRule="atLeast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п/п</w:t>
            </w:r>
          </w:p>
        </w:tc>
        <w:tc>
          <w:tcPr>
            <w:tcW w:w="29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>
        <w:trPr/>
        <w:tc>
          <w:tcPr>
            <w:tcW w:w="4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позиции сметного расчета (сметы) в ССР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  <w:tc>
          <w:tcPr>
            <w:tcW w:w="211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59" w:before="0" w:after="160"/>
              <w:rPr>
                <w:rFonts w:ascii="Times New Roman" w:hAnsi="Times New Roman" w:eastAsia="Calibri"/>
                <w:sz w:val="18"/>
                <w:szCs w:val="18"/>
                <w:lang w:eastAsia="en-US"/>
              </w:rPr>
            </w:pPr>
            <w:r>
              <w:rPr>
                <w:rFonts w:eastAsia="Calibri" w:ascii="Times New Roman" w:hAnsi="Times New Roman"/>
                <w:sz w:val="18"/>
                <w:szCs w:val="18"/>
                <w:lang w:eastAsia="en-US"/>
              </w:rPr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>
        <w:trPr/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ind w:firstLine="720" w:left="357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br w:type="page"/>
      </w:r>
    </w:p>
    <w:p>
      <w:pPr>
        <w:pStyle w:val="Normal"/>
        <w:widowControl/>
        <w:suppressAutoHyphens w:val="true"/>
        <w:bidi w:val="0"/>
        <w:spacing w:lineRule="auto" w:line="240" w:before="0" w:after="0"/>
        <w:ind w:firstLine="6180" w:left="340" w:right="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widowControl/>
        <w:suppressAutoHyphens w:val="true"/>
        <w:bidi w:val="0"/>
        <w:spacing w:lineRule="auto" w:line="240" w:before="0" w:after="0"/>
        <w:ind w:hanging="227" w:left="340" w:right="0"/>
        <w:jc w:val="left"/>
        <w:rPr/>
      </w:pPr>
      <w:r>
        <w:rPr>
          <w:rFonts w:ascii="Times New Roman" w:hAnsi="Times New Roman"/>
          <w:b/>
          <w:sz w:val="20"/>
          <w:szCs w:val="20"/>
        </w:rPr>
        <w:t xml:space="preserve">ОБРАЗЕЦ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Приложение №1.4 </w:t>
      </w:r>
    </w:p>
    <w:p>
      <w:pPr>
        <w:pStyle w:val="ConsPlusNormal1"/>
        <w:ind w:firstLine="720" w:left="5811"/>
        <w:jc w:val="left"/>
        <w:rPr/>
      </w:pPr>
      <w:r>
        <w:rPr>
          <w:rFonts w:ascii="Times New Roman" w:hAnsi="Times New Roman"/>
        </w:rPr>
        <w:t>к Требованиям к оформлению и составлению сводного сметного расчета к договорам на реконструкцию, техническое перевооружение и ремонт и дополнительным соглашениям к указанным договорам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ind w:firstLine="720" w:left="5811"/>
        <w:jc w:val="left"/>
        <w:rPr/>
      </w:pPr>
      <w:r>
        <w:rPr>
          <w:rFonts w:ascii="Times New Roman" w:hAnsi="Times New Roman"/>
        </w:rPr>
        <w:t>Приложение №___</w:t>
      </w:r>
    </w:p>
    <w:p>
      <w:pPr>
        <w:pStyle w:val="ConsPlusNormal1"/>
        <w:ind w:firstLine="720" w:left="5811"/>
        <w:jc w:val="left"/>
        <w:rPr/>
      </w:pPr>
      <w:r>
        <w:rPr>
          <w:rFonts w:ascii="Times New Roman" w:hAnsi="Times New Roman"/>
        </w:rPr>
        <w:t>к дополнительному соглашению от ___ № ___</w:t>
      </w:r>
    </w:p>
    <w:p>
      <w:pPr>
        <w:pStyle w:val="ConsPlusNormal1"/>
        <w:ind w:firstLine="720" w:left="5811"/>
        <w:jc w:val="left"/>
        <w:rPr/>
      </w:pPr>
      <w:r>
        <w:rPr>
          <w:rFonts w:ascii="Times New Roman" w:hAnsi="Times New Roman"/>
        </w:rPr>
        <w:t xml:space="preserve">к договору от_______№_____ </w:t>
      </w:r>
    </w:p>
    <w:p>
      <w:pPr>
        <w:pStyle w:val="Normal"/>
        <w:spacing w:lineRule="auto" w:line="240" w:before="0"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Сопоставительная ведомость объемов работ</w:t>
      </w:r>
    </w:p>
    <w:p>
      <w:pPr>
        <w:pStyle w:val="ConsPlusNormal1"/>
        <w:jc w:val="both"/>
        <w:rPr>
          <w:b/>
        </w:rPr>
      </w:pPr>
      <w:r>
        <w:rPr>
          <w:b/>
        </w:rPr>
      </w:r>
    </w:p>
    <w:tbl>
      <w:tblPr>
        <w:tblW w:w="10773" w:type="dxa"/>
        <w:jc w:val="left"/>
        <w:tblInd w:w="2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noHBand="0" w:noVBand="0" w:firstColumn="0" w:lastRow="0" w:lastColumn="0" w:firstRow="0"/>
      </w:tblPr>
      <w:tblGrid>
        <w:gridCol w:w="425"/>
        <w:gridCol w:w="710"/>
        <w:gridCol w:w="850"/>
        <w:gridCol w:w="1210"/>
        <w:gridCol w:w="914"/>
        <w:gridCol w:w="851"/>
        <w:gridCol w:w="854"/>
        <w:gridCol w:w="851"/>
        <w:gridCol w:w="851"/>
        <w:gridCol w:w="705"/>
        <w:gridCol w:w="567"/>
        <w:gridCol w:w="850"/>
        <w:gridCol w:w="1134"/>
      </w:tblGrid>
      <w:tr>
        <w:trPr>
          <w:trHeight w:val="880" w:hRule="atLeast"/>
        </w:trPr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 w:left="-6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пп</w:t>
            </w:r>
          </w:p>
        </w:tc>
        <w:tc>
          <w:tcPr>
            <w:tcW w:w="368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Ед. изм.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12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1416" w:left="136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Примечание</w:t>
            </w:r>
          </w:p>
        </w:tc>
      </w:tr>
      <w:tr>
        <w:trPr>
          <w:trHeight w:val="62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20"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 w:left="-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21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cs="Times New Roman" w:ascii="Times New Roman" w:hAnsi="Times New Roman"/>
                <w:sz w:val="18"/>
                <w:szCs w:val="18"/>
              </w:rPr>
              <w:t>позиции в сметном расчете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7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1308" w:hRule="atLeast"/>
        </w:trPr>
        <w:tc>
          <w:tcPr>
            <w:tcW w:w="42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85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до изменений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firstLine="720"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увели</w:t>
            </w:r>
          </w:p>
          <w:p>
            <w:pPr>
              <w:pStyle w:val="ConsPlusNormal1"/>
              <w:widowControl w:val="false"/>
              <w:ind w:firstLine="720"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чение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ind w:hanging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  <w:t>снижение</w:t>
            </w:r>
          </w:p>
        </w:tc>
        <w:tc>
          <w:tcPr>
            <w:tcW w:w="85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0" w:after="20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rPr>
          <w:trHeight w:val="232" w:hRule="atLeast"/>
        </w:trPr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Normal1"/>
              <w:widowControl w:val="false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</w:rPr>
            </w:r>
          </w:p>
        </w:tc>
      </w:tr>
    </w:tbl>
    <w:p>
      <w:pPr>
        <w:sectPr>
          <w:footerReference w:type="default" r:id="rId6"/>
          <w:footerReference w:type="first" r:id="rId7"/>
          <w:type w:val="nextPage"/>
          <w:pgSz w:w="11906" w:h="16838"/>
          <w:pgMar w:left="426" w:right="924" w:gutter="0" w:header="0" w:top="284" w:footer="709" w:bottom="766"/>
          <w:pgNumType w:fmt="decimal"/>
          <w:formProt w:val="false"/>
          <w:textDirection w:val="lrTb"/>
          <w:docGrid w:type="default" w:linePitch="360" w:charSpace="0"/>
        </w:sectPr>
      </w:pPr>
    </w:p>
    <w:p>
      <w:pPr>
        <w:pStyle w:val="ConsPlusNormal1"/>
        <w:jc w:val="both"/>
        <w:rPr/>
      </w:pPr>
      <w:r>
        <w:rPr/>
      </w:r>
    </w:p>
    <w:p>
      <w:pPr>
        <w:pStyle w:val="Normal"/>
        <w:spacing w:lineRule="auto" w:line="240" w:before="0" w:after="0"/>
        <w:ind w:firstLine="720"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Приложение№1.5 </w:t>
      </w:r>
    </w:p>
    <w:p>
      <w:pPr>
        <w:pStyle w:val="Normal"/>
        <w:spacing w:lineRule="auto" w:line="240" w:before="0" w:after="0"/>
        <w:ind w:firstLine="720" w:left="5811"/>
        <w:jc w:val="right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>
      <w:pPr>
        <w:pStyle w:val="ConsPlusNormal1"/>
        <w:ind w:firstLine="720" w:left="5811"/>
        <w:jc w:val="right"/>
        <w:rPr/>
      </w:pPr>
      <w:r>
        <w:rPr>
          <w:rFonts w:ascii="Times New Roman" w:hAnsi="Times New Roman"/>
        </w:rPr>
        <w:t>к Требованиям к оформлению и составлению</w:t>
      </w:r>
      <w:r>
        <w:rPr/>
        <w:t xml:space="preserve"> 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сводного сметного расчета к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договорам на реконструкцию, техническое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перевооружение и ремонт и дополнительным</w:t>
      </w:r>
    </w:p>
    <w:p>
      <w:pPr>
        <w:pStyle w:val="ConsPlusNormal1"/>
        <w:ind w:firstLine="720"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соглашениям к указанным договорам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tbl>
      <w:tblPr>
        <w:tblW w:w="5000" w:type="pct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3"/>
        <w:gridCol w:w="1316"/>
        <w:gridCol w:w="692"/>
        <w:gridCol w:w="2815"/>
        <w:gridCol w:w="849"/>
        <w:gridCol w:w="1099"/>
        <w:gridCol w:w="665"/>
        <w:gridCol w:w="1042"/>
        <w:gridCol w:w="1083"/>
        <w:gridCol w:w="665"/>
        <w:gridCol w:w="1042"/>
        <w:gridCol w:w="506"/>
        <w:gridCol w:w="687"/>
        <w:gridCol w:w="2239"/>
      </w:tblGrid>
      <w:tr>
        <w:trPr>
          <w:trHeight w:val="285" w:hRule="atLeast"/>
        </w:trPr>
        <w:tc>
          <w:tcPr>
            <w:tcW w:w="3141" w:type="dxa"/>
            <w:gridSpan w:val="3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281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474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>
        <w:trPr>
          <w:trHeight w:val="225" w:hRule="exact"/>
        </w:trPr>
        <w:tc>
          <w:tcPr>
            <w:tcW w:w="5956" w:type="dxa"/>
            <w:gridSpan w:val="4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139" w:type="dxa"/>
            <w:gridSpan w:val="5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45" w:hRule="atLeast"/>
        </w:trPr>
        <w:tc>
          <w:tcPr>
            <w:tcW w:w="1133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31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06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68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239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330" w:hRule="atLeast"/>
        </w:trPr>
        <w:tc>
          <w:tcPr>
            <w:tcW w:w="2449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_____________2025 г</w:t>
            </w:r>
          </w:p>
        </w:tc>
        <w:tc>
          <w:tcPr>
            <w:tcW w:w="6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1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4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83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6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4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06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23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"_____" ________2025 г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1573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134"/>
        <w:gridCol w:w="1517"/>
        <w:gridCol w:w="895"/>
        <w:gridCol w:w="282"/>
        <w:gridCol w:w="892"/>
        <w:gridCol w:w="387"/>
        <w:gridCol w:w="264"/>
        <w:gridCol w:w="974"/>
        <w:gridCol w:w="1114"/>
        <w:gridCol w:w="1295"/>
        <w:gridCol w:w="1401"/>
        <w:gridCol w:w="1775"/>
        <w:gridCol w:w="599"/>
        <w:gridCol w:w="1275"/>
        <w:gridCol w:w="990"/>
        <w:gridCol w:w="937"/>
      </w:tblGrid>
      <w:tr>
        <w:trPr>
          <w:trHeight w:val="255" w:hRule="atLeast"/>
        </w:trPr>
        <w:tc>
          <w:tcPr>
            <w:tcW w:w="5107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0624" w:type="dxa"/>
            <w:gridSpan w:val="10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ГРАНД-Смета, версия 2025.3</w:t>
            </w:r>
          </w:p>
        </w:tc>
      </w:tr>
      <w:tr>
        <w:trPr>
          <w:trHeight w:val="402" w:hRule="atLeast"/>
        </w:trPr>
        <w:tc>
          <w:tcPr>
            <w:tcW w:w="5107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Наименование редакции сметных нормативов</w:t>
            </w:r>
          </w:p>
        </w:tc>
        <w:tc>
          <w:tcPr>
            <w:tcW w:w="10624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564" w:hRule="atLeast"/>
        </w:trPr>
        <w:tc>
          <w:tcPr>
            <w:tcW w:w="5107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Реквизиты приказа  Минстроя России  об утверждении дополнений и изменений к сметным нормативам</w:t>
            </w:r>
          </w:p>
        </w:tc>
        <w:tc>
          <w:tcPr>
            <w:tcW w:w="10624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1976" w:hRule="atLeast"/>
        </w:trPr>
        <w:tc>
          <w:tcPr>
            <w:tcW w:w="5107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Реквизиты письма Минстроя России об индексах изменения сметной стоимости строительства, включаемые в федеральный реестр сметных нормативов и размещаемые в федеральной государственной информационной системе ценообразования в строительстве, подготовленного  в соответствии  пунктом 85 Методики  расчета индексов изменения  сметной стоимости строительства, утвержденной  приказом Министерства строительства и жилищно-коммунального хозяйства Российской Федерации от 5 июня 2019 г. № 326/пр¹</w:t>
            </w:r>
          </w:p>
        </w:tc>
        <w:tc>
          <w:tcPr>
            <w:tcW w:w="10624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1126" w:hRule="atLeast"/>
        </w:trPr>
        <w:tc>
          <w:tcPr>
            <w:tcW w:w="5107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Реквизиты нормативного  правового  акта  об утверждении оплаты труда, утверждаемый  в соответствии с пунктом 22(1) Правилами мониторинга цен, утвержденными постановлением Правительства Российской Федерации от 23 декабря 2016 г. № 1452</w:t>
            </w:r>
          </w:p>
        </w:tc>
        <w:tc>
          <w:tcPr>
            <w:tcW w:w="10624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5107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Обоснование принятых текущих цен на строительные ресурсы</w:t>
            </w:r>
          </w:p>
        </w:tc>
        <w:tc>
          <w:tcPr>
            <w:tcW w:w="10624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5107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Наименование субъекта Российской Федерации</w:t>
            </w:r>
          </w:p>
        </w:tc>
        <w:tc>
          <w:tcPr>
            <w:tcW w:w="10624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5107" w:type="dxa"/>
            <w:gridSpan w:val="6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Наименование зоны субъекта Российской Федерации</w:t>
            </w:r>
          </w:p>
        </w:tc>
        <w:tc>
          <w:tcPr>
            <w:tcW w:w="10624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12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7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11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9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40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59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7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3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300" w:hRule="exact"/>
        </w:trPr>
        <w:tc>
          <w:tcPr>
            <w:tcW w:w="15731" w:type="dxa"/>
            <w:gridSpan w:val="16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15731" w:type="dxa"/>
            <w:gridSpan w:val="16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стройки)</w:t>
            </w:r>
          </w:p>
        </w:tc>
      </w:tr>
      <w:tr>
        <w:trPr>
          <w:trHeight w:val="120" w:hRule="exact"/>
        </w:trPr>
        <w:tc>
          <w:tcPr>
            <w:tcW w:w="113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151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8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15731" w:type="dxa"/>
            <w:gridSpan w:val="16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300" w:hRule="atLeast"/>
        </w:trPr>
        <w:tc>
          <w:tcPr>
            <w:tcW w:w="15731" w:type="dxa"/>
            <w:gridSpan w:val="16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>
        <w:trPr>
          <w:trHeight w:val="345" w:hRule="atLeast"/>
        </w:trPr>
        <w:tc>
          <w:tcPr>
            <w:tcW w:w="15731" w:type="dxa"/>
            <w:gridSpan w:val="16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sz w:val="28"/>
                <w:szCs w:val="28"/>
              </w:rPr>
              <w:t>ЛОКАЛЬНЫЙ СМЕТНЫЙ РАСЧЕТ (СМЕТА) №</w:t>
            </w:r>
          </w:p>
        </w:tc>
      </w:tr>
      <w:tr>
        <w:trPr>
          <w:trHeight w:val="165" w:hRule="exac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cs="Arial" w:ascii="Arial" w:hAnsi="Arial"/>
                <w:b/>
                <w:bCs/>
                <w:sz w:val="28"/>
                <w:szCs w:val="28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15731" w:type="dxa"/>
            <w:gridSpan w:val="16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225" w:hRule="atLeast"/>
        </w:trPr>
        <w:tc>
          <w:tcPr>
            <w:tcW w:w="15731" w:type="dxa"/>
            <w:gridSpan w:val="16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(наименование работ и затрат)</w:t>
            </w:r>
          </w:p>
        </w:tc>
      </w:tr>
      <w:tr>
        <w:trPr>
          <w:trHeight w:val="24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Составлен</w:t>
            </w:r>
          </w:p>
        </w:tc>
        <w:tc>
          <w:tcPr>
            <w:tcW w:w="1517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ресурсно-индексным</w:t>
            </w:r>
          </w:p>
        </w:tc>
        <w:tc>
          <w:tcPr>
            <w:tcW w:w="8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2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Основание</w:t>
            </w:r>
          </w:p>
        </w:tc>
        <w:tc>
          <w:tcPr>
            <w:tcW w:w="3973" w:type="dxa"/>
            <w:gridSpan w:val="5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73" w:type="dxa"/>
            <w:gridSpan w:val="5"/>
            <w:tcBorders>
              <w:top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exac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265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Составлен(а) в текущем уровне цен</w:t>
            </w:r>
          </w:p>
        </w:tc>
        <w:tc>
          <w:tcPr>
            <w:tcW w:w="2456" w:type="dxa"/>
            <w:gridSpan w:val="4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195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9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2651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8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в том числе:</w:t>
            </w:r>
          </w:p>
        </w:tc>
        <w:tc>
          <w:tcPr>
            <w:tcW w:w="8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</w:r>
          </w:p>
        </w:tc>
        <w:tc>
          <w:tcPr>
            <w:tcW w:w="2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4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8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17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3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8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17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Средства на оплату труда машинистов</w:t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3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</w:tr>
      <w:tr>
        <w:trPr>
          <w:trHeight w:val="24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оборудования</w:t>
            </w:r>
          </w:p>
        </w:tc>
        <w:tc>
          <w:tcPr>
            <w:tcW w:w="8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bookmarkStart w:id="38" w:name="_GoBack_Копия_1"/>
            <w:bookmarkStart w:id="39" w:name="_GoBack_Копия_1"/>
            <w:bookmarkEnd w:id="39"/>
          </w:p>
        </w:tc>
        <w:tc>
          <w:tcPr>
            <w:tcW w:w="3176" w:type="dxa"/>
            <w:gridSpan w:val="2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240" w:hRule="atLeas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89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82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8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тыс.руб.</w:t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775" w:type="dxa"/>
            <w:gridSpan w:val="3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чел.-ч.</w:t>
            </w:r>
          </w:p>
        </w:tc>
      </w:tr>
      <w:tr>
        <w:trPr>
          <w:trHeight w:val="195" w:hRule="exact"/>
        </w:trPr>
        <w:tc>
          <w:tcPr>
            <w:tcW w:w="113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151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82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89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8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6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7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114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9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01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7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9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75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90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937" w:type="dxa"/>
            <w:tcBorders/>
            <w:shd w:color="auto" w:fill="auto" w:val="clear"/>
            <w:vAlign w:val="bottom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25" w:hRule="atLeast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 xml:space="preserve">№ </w:t>
            </w:r>
            <w:r>
              <w:rPr>
                <w:rFonts w:cs="Arial" w:ascii="Arial" w:hAnsi="Arial"/>
                <w:color w:val="000000"/>
                <w:sz w:val="16"/>
                <w:szCs w:val="16"/>
              </w:rPr>
              <w:t>п/п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27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81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5576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Сметная стоимость, руб.</w:t>
            </w:r>
          </w:p>
        </w:tc>
      </w:tr>
      <w:tr>
        <w:trPr>
          <w:trHeight w:val="269" w:hRule="atLeast"/>
        </w:trPr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20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3810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5576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</w:tr>
      <w:tr>
        <w:trPr>
          <w:trHeight w:val="1080" w:hRule="atLeast"/>
        </w:trPr>
        <w:tc>
          <w:tcPr>
            <w:tcW w:w="113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51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2720" w:type="dxa"/>
            <w:gridSpan w:val="5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97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</w:r>
          </w:p>
        </w:tc>
        <w:tc>
          <w:tcPr>
            <w:tcW w:w="11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 измерения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 измерения в базисном уровне цен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индекс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на единицу измерения в текущем уровне цен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93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всего в текущем уровне цен</w:t>
            </w:r>
          </w:p>
        </w:tc>
      </w:tr>
      <w:tr>
        <w:trPr>
          <w:trHeight w:val="270" w:hRule="atLeast"/>
        </w:trPr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1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20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4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9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01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17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599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5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37" w:type="dxa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cs="Arial" w:ascii="Arial" w:hAnsi="Arial"/>
                <w:color w:val="000000"/>
                <w:sz w:val="16"/>
                <w:szCs w:val="16"/>
              </w:rPr>
              <w:t>12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tbl>
      <w:tblPr>
        <w:tblW w:w="862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179"/>
        <w:gridCol w:w="6440"/>
      </w:tblGrid>
      <w:tr>
        <w:trPr>
          <w:trHeight w:val="300" w:hRule="atLeast"/>
        </w:trPr>
        <w:tc>
          <w:tcPr>
            <w:tcW w:w="217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Составил:</w:t>
            </w:r>
          </w:p>
        </w:tc>
        <w:tc>
          <w:tcPr>
            <w:tcW w:w="644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330" w:hRule="atLeast"/>
        </w:trPr>
        <w:tc>
          <w:tcPr>
            <w:tcW w:w="217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6440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[должность, подпись (инициалы, фамилия)]</w:t>
            </w:r>
          </w:p>
        </w:tc>
      </w:tr>
      <w:tr>
        <w:trPr>
          <w:trHeight w:val="300" w:hRule="atLeast"/>
        </w:trPr>
        <w:tc>
          <w:tcPr>
            <w:tcW w:w="217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  <w:t>Проверил:</w:t>
            </w:r>
          </w:p>
        </w:tc>
        <w:tc>
          <w:tcPr>
            <w:tcW w:w="644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</w:tr>
      <w:tr>
        <w:trPr>
          <w:trHeight w:val="330" w:hRule="atLeast"/>
        </w:trPr>
        <w:tc>
          <w:tcPr>
            <w:tcW w:w="2179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</w:tc>
        <w:tc>
          <w:tcPr>
            <w:tcW w:w="6440" w:type="dxa"/>
            <w:tcBorders>
              <w:top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false"/>
              <w:spacing w:lineRule="auto" w:line="240" w:before="0" w:after="0"/>
              <w:jc w:val="center"/>
              <w:rPr>
                <w:rFonts w:ascii="Arial" w:hAnsi="Arial" w:cs="Arial"/>
                <w:i/>
                <w:i/>
                <w:iCs/>
                <w:sz w:val="16"/>
                <w:szCs w:val="16"/>
              </w:rPr>
            </w:pPr>
            <w:r>
              <w:rPr>
                <w:rFonts w:cs="Arial" w:ascii="Arial" w:hAnsi="Arial"/>
                <w:i/>
                <w:iCs/>
                <w:sz w:val="16"/>
                <w:szCs w:val="16"/>
              </w:rPr>
              <w:t>[должность, подпись (инициалы, фамилия)]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color w:val="000000"/>
          <w:sz w:val="20"/>
          <w:szCs w:val="20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onsPlusNormal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bookmarkStart w:id="40" w:name="_GoBack"/>
      <w:bookmarkStart w:id="41" w:name="_GoBack"/>
      <w:bookmarkEnd w:id="41"/>
    </w:p>
    <w:sectPr>
      <w:footerReference w:type="default" r:id="rId8"/>
      <w:footerReference w:type="first" r:id="rId9"/>
      <w:type w:val="nextPage"/>
      <w:pgSz w:orient="landscape" w:w="16838" w:h="11906"/>
      <w:pgMar w:left="720" w:right="284" w:gutter="0" w:header="0" w:top="426" w:footer="709" w:bottom="92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PT Sans"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487036448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6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14428289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9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976758612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11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062026187"/>
    </w:sdtPr>
    <w:sdtContent>
      <w:p>
        <w:pPr>
          <w:pStyle w:val="Footer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13</w:t>
        </w:r>
        <w:r>
          <w:rPr/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footer7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center"/>
      <w:pPr>
        <w:tabs>
          <w:tab w:val="num" w:pos="567"/>
        </w:tabs>
        <w:ind w:left="567" w:hanging="279"/>
      </w:pPr>
      <w:rPr/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dstrike w:val="false"/>
        <w:strike w:val="false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/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/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/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i w:val="false"/>
        <w:rFonts w:ascii="Garamond" w:hAnsi="Garamond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/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1211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8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24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6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07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rFonts w:ascii="Times New Roman" w:hAnsi="Times New Roman" w:eastAsia="Calibri" w:cs="Times New Roman"/>
        <w:color w:val="00000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46" w:hanging="36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24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942" w:hanging="72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738" w:hanging="108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316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534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752" w:hanging="144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sz w:val="22"/>
        <w:i w:val="false"/>
        <w:b w:val="false"/>
        <w:szCs w:val="22"/>
        <w:rFonts w:ascii="Times New Roman" w:hAnsi="Times New Roman"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2" w:hanging="450"/>
      </w:pPr>
      <w:rPr>
        <w:sz w:val="22"/>
        <w:b w:val="false"/>
        <w:szCs w:val="22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82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42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662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022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382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1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62" w:hanging="1440"/>
      </w:pPr>
      <w:rPr>
        <w:sz w:val="28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8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0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614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7"/>
  </w:num>
  <w:num w:numId="13">
    <w:abstractNumId w:val="7"/>
  </w:num>
</w:numbering>
</file>

<file path=word/settings.xml><?xml version="1.0" encoding="utf-8"?>
<w:settings xmlns:w="http://schemas.openxmlformats.org/wordprocessingml/2006/main">
  <w:zoom w:percent="13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1"/>
    <w:uiPriority w:val="9"/>
    <w:qFormat/>
    <w:rsid w:val="00bb18d9"/>
    <w:pPr>
      <w:keepNext w:val="true"/>
      <w:keepLines/>
      <w:spacing w:lineRule="auto" w:line="240"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2"/>
    <w:uiPriority w:val="9"/>
    <w:unhideWhenUsed/>
    <w:qFormat/>
    <w:rsid w:val="00d4745f"/>
    <w:pPr>
      <w:keepNext w:val="true"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3"/>
    <w:uiPriority w:val="9"/>
    <w:qFormat/>
    <w:rsid w:val="00bb18d9"/>
    <w:pPr>
      <w:keepNext w:val="true"/>
      <w:keepLines/>
      <w:spacing w:lineRule="auto" w:line="240"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Heading4">
    <w:name w:val="Heading 4"/>
    <w:basedOn w:val="Normal"/>
    <w:next w:val="Normal"/>
    <w:link w:val="4"/>
    <w:uiPriority w:val="9"/>
    <w:qFormat/>
    <w:rsid w:val="00bb18d9"/>
    <w:pPr>
      <w:keepNext w:val="true"/>
      <w:keepLines/>
      <w:spacing w:lineRule="auto" w:line="240"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Heading5">
    <w:name w:val="Heading 5"/>
    <w:basedOn w:val="Normal"/>
    <w:next w:val="Normal"/>
    <w:link w:val="5"/>
    <w:uiPriority w:val="9"/>
    <w:qFormat/>
    <w:rsid w:val="00bb18d9"/>
    <w:pPr>
      <w:keepNext w:val="true"/>
      <w:keepLines/>
      <w:spacing w:lineRule="auto" w:line="240"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6"/>
    <w:uiPriority w:val="9"/>
    <w:qFormat/>
    <w:rsid w:val="00bb18d9"/>
    <w:pPr>
      <w:keepNext w:val="true"/>
      <w:keepLines/>
      <w:spacing w:lineRule="auto" w:line="240" w:before="200" w:after="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Heading7">
    <w:name w:val="Heading 7"/>
    <w:basedOn w:val="Normal"/>
    <w:next w:val="Normal"/>
    <w:link w:val="7"/>
    <w:uiPriority w:val="9"/>
    <w:qFormat/>
    <w:rsid w:val="00bb18d9"/>
    <w:pPr>
      <w:keepNext w:val="true"/>
      <w:keepLines/>
      <w:spacing w:lineRule="auto" w:line="240" w:before="200" w:after="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Heading8">
    <w:name w:val="Heading 8"/>
    <w:basedOn w:val="Normal"/>
    <w:next w:val="Normal"/>
    <w:link w:val="8"/>
    <w:uiPriority w:val="9"/>
    <w:qFormat/>
    <w:rsid w:val="00bb18d9"/>
    <w:pPr>
      <w:keepNext w:val="true"/>
      <w:keepLines/>
      <w:spacing w:lineRule="auto" w:line="240"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9"/>
    <w:uiPriority w:val="9"/>
    <w:qFormat/>
    <w:rsid w:val="00bb18d9"/>
    <w:pPr>
      <w:keepNext w:val="true"/>
      <w:keepLines/>
      <w:spacing w:lineRule="auto" w:line="240"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qFormat/>
    <w:rsid w:val="00cb04da"/>
    <w:rPr>
      <w:sz w:val="16"/>
      <w:szCs w:val="16"/>
    </w:rPr>
  </w:style>
  <w:style w:type="character" w:styleId="Style" w:customStyle="1">
    <w:name w:val="Текст примечания Знак"/>
    <w:link w:val="Annotationtext"/>
    <w:qFormat/>
    <w:rsid w:val="00cb04da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" w:customStyle="1">
    <w:name w:val="Текст выноски Знак"/>
    <w:link w:val="BalloonText"/>
    <w:uiPriority w:val="99"/>
    <w:semiHidden/>
    <w:qFormat/>
    <w:rsid w:val="00cb04da"/>
    <w:rPr>
      <w:rFonts w:ascii="Tahoma" w:hAnsi="Tahoma" w:cs="Tahoma"/>
      <w:sz w:val="16"/>
      <w:szCs w:val="16"/>
    </w:rPr>
  </w:style>
  <w:style w:type="character" w:styleId="2" w:customStyle="1">
    <w:name w:val="Заголовок 2 Знак"/>
    <w:uiPriority w:val="9"/>
    <w:qFormat/>
    <w:rsid w:val="00d4745f"/>
    <w:rPr>
      <w:rFonts w:ascii="Cambria" w:hAnsi="Cambria" w:eastAsia="Times New Roman" w:cs="Times New Roman"/>
      <w:b/>
      <w:bCs/>
      <w:color w:val="4F81BD"/>
      <w:sz w:val="26"/>
      <w:szCs w:val="26"/>
    </w:rPr>
  </w:style>
  <w:style w:type="character" w:styleId="Hyperlink">
    <w:name w:val="Hyperlink"/>
    <w:uiPriority w:val="99"/>
    <w:rsid w:val="00d4745f"/>
    <w:rPr>
      <w:color w:val="0000FF"/>
      <w:u w:val="single"/>
    </w:rPr>
  </w:style>
  <w:style w:type="character" w:styleId="Apple-style-span" w:customStyle="1">
    <w:name w:val="apple-style-span"/>
    <w:basedOn w:val="DefaultParagraphFont"/>
    <w:qFormat/>
    <w:rsid w:val="00b4339d"/>
    <w:rPr/>
  </w:style>
  <w:style w:type="character" w:styleId="Apple-converted-space" w:customStyle="1">
    <w:name w:val="apple-converted-space"/>
    <w:basedOn w:val="DefaultParagraphFont"/>
    <w:qFormat/>
    <w:rsid w:val="00b4339d"/>
    <w:rPr/>
  </w:style>
  <w:style w:type="character" w:styleId="Style2" w:customStyle="1">
    <w:name w:val="Текст сноски Знак"/>
    <w:uiPriority w:val="99"/>
    <w:qFormat/>
    <w:rsid w:val="0080406e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Style3" w:customStyle="1">
    <w:name w:val="Символ сноски"/>
    <w:uiPriority w:val="99"/>
    <w:unhideWhenUsed/>
    <w:qFormat/>
    <w:rsid w:val="0080406e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1" w:customStyle="1">
    <w:name w:val="Подпункт Знак1"/>
    <w:link w:val="Style23"/>
    <w:qFormat/>
    <w:locked/>
    <w:rsid w:val="00192f26"/>
    <w:rPr>
      <w:rFonts w:ascii="Times New Roman" w:hAnsi="Times New Roman"/>
      <w:b/>
      <w:sz w:val="28"/>
    </w:rPr>
  </w:style>
  <w:style w:type="character" w:styleId="Style4" w:customStyle="1">
    <w:name w:val="Верхний колонтитул Знак"/>
    <w:basedOn w:val="DefaultParagraphFont"/>
    <w:uiPriority w:val="99"/>
    <w:qFormat/>
    <w:rsid w:val="00ff6229"/>
    <w:rPr/>
  </w:style>
  <w:style w:type="character" w:styleId="Style5" w:customStyle="1">
    <w:name w:val="Нижний колонтитул Знак"/>
    <w:basedOn w:val="DefaultParagraphFont"/>
    <w:uiPriority w:val="99"/>
    <w:qFormat/>
    <w:rsid w:val="00ff6229"/>
    <w:rPr/>
  </w:style>
  <w:style w:type="character" w:styleId="Linenumber">
    <w:name w:val="line number"/>
    <w:basedOn w:val="DefaultParagraphFont"/>
    <w:uiPriority w:val="99"/>
    <w:semiHidden/>
    <w:unhideWhenUsed/>
    <w:qFormat/>
    <w:rsid w:val="00ff6229"/>
    <w:rPr/>
  </w:style>
  <w:style w:type="character" w:styleId="Style6" w:customStyle="1">
    <w:name w:val="Схема документа Знак"/>
    <w:link w:val="DocumentMap"/>
    <w:uiPriority w:val="99"/>
    <w:semiHidden/>
    <w:qFormat/>
    <w:rsid w:val="0040689f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uiPriority w:val="9"/>
    <w:qFormat/>
    <w:rsid w:val="00bb18d9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3" w:customStyle="1">
    <w:name w:val="Заголовок 3 Знак"/>
    <w:uiPriority w:val="9"/>
    <w:qFormat/>
    <w:rsid w:val="00bb18d9"/>
    <w:rPr>
      <w:rFonts w:ascii="Cambria" w:hAnsi="Cambria" w:eastAsia="Times New Roman" w:cs="Times New Roman"/>
      <w:b/>
      <w:bCs/>
      <w:color w:val="4F81BD"/>
      <w:sz w:val="20"/>
      <w:szCs w:val="20"/>
    </w:rPr>
  </w:style>
  <w:style w:type="character" w:styleId="4" w:customStyle="1">
    <w:name w:val="Заголовок 4 Знак"/>
    <w:uiPriority w:val="9"/>
    <w:qFormat/>
    <w:rsid w:val="00bb18d9"/>
    <w:rPr>
      <w:rFonts w:ascii="Cambria" w:hAnsi="Cambria" w:eastAsia="Times New Roman" w:cs="Times New Roman"/>
      <w:b/>
      <w:bCs/>
      <w:i/>
      <w:iCs/>
      <w:color w:val="4F81BD"/>
      <w:sz w:val="20"/>
      <w:szCs w:val="20"/>
    </w:rPr>
  </w:style>
  <w:style w:type="character" w:styleId="5" w:customStyle="1">
    <w:name w:val="Заголовок 5 Знак"/>
    <w:uiPriority w:val="9"/>
    <w:qFormat/>
    <w:rsid w:val="00bb18d9"/>
    <w:rPr>
      <w:rFonts w:ascii="Cambria" w:hAnsi="Cambria" w:eastAsia="Times New Roman" w:cs="Times New Roman"/>
      <w:color w:val="243F60"/>
      <w:sz w:val="20"/>
      <w:szCs w:val="20"/>
    </w:rPr>
  </w:style>
  <w:style w:type="character" w:styleId="6" w:customStyle="1">
    <w:name w:val="Заголовок 6 Знак"/>
    <w:uiPriority w:val="9"/>
    <w:qFormat/>
    <w:rsid w:val="00bb18d9"/>
    <w:rPr>
      <w:rFonts w:ascii="Cambria" w:hAnsi="Cambria" w:eastAsia="Times New Roman" w:cs="Times New Roman"/>
      <w:i/>
      <w:iCs/>
      <w:color w:val="243F60"/>
      <w:sz w:val="20"/>
      <w:szCs w:val="20"/>
    </w:rPr>
  </w:style>
  <w:style w:type="character" w:styleId="7" w:customStyle="1">
    <w:name w:val="Заголовок 7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8" w:customStyle="1">
    <w:name w:val="Заголовок 8 Знак"/>
    <w:uiPriority w:val="9"/>
    <w:qFormat/>
    <w:rsid w:val="00bb18d9"/>
    <w:rPr>
      <w:rFonts w:ascii="Cambria" w:hAnsi="Cambria" w:eastAsia="Times New Roman" w:cs="Times New Roman"/>
      <w:color w:val="4F81BD"/>
      <w:sz w:val="20"/>
      <w:szCs w:val="20"/>
    </w:rPr>
  </w:style>
  <w:style w:type="character" w:styleId="9" w:customStyle="1">
    <w:name w:val="Заголовок 9 Знак"/>
    <w:uiPriority w:val="9"/>
    <w:qFormat/>
    <w:rsid w:val="00bb18d9"/>
    <w:rPr>
      <w:rFonts w:ascii="Cambria" w:hAnsi="Cambria" w:eastAsia="Times New Roman" w:cs="Times New Roman"/>
      <w:i/>
      <w:iCs/>
      <w:color w:val="404040"/>
      <w:sz w:val="20"/>
      <w:szCs w:val="20"/>
    </w:rPr>
  </w:style>
  <w:style w:type="character" w:styleId="Style7" w:customStyle="1">
    <w:name w:val="Название Знак"/>
    <w:link w:val="15"/>
    <w:uiPriority w:val="10"/>
    <w:qFormat/>
    <w:rsid w:val="00bb18d9"/>
    <w:rPr>
      <w:rFonts w:ascii="Cambria" w:hAnsi="Cambria" w:eastAsia="Times New Roman" w:cs="Times New Roman"/>
      <w:color w:val="17365D"/>
      <w:spacing w:val="5"/>
      <w:kern w:val="2"/>
      <w:sz w:val="52"/>
      <w:szCs w:val="52"/>
    </w:rPr>
  </w:style>
  <w:style w:type="character" w:styleId="Style8" w:customStyle="1">
    <w:name w:val="Подзаголовок Знак"/>
    <w:uiPriority w:val="11"/>
    <w:qFormat/>
    <w:rsid w:val="00bb18d9"/>
    <w:rPr>
      <w:rFonts w:ascii="Cambria" w:hAnsi="Cambria" w:eastAsia="Times New Roman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bb18d9"/>
    <w:rPr>
      <w:b/>
      <w:bCs/>
    </w:rPr>
  </w:style>
  <w:style w:type="character" w:styleId="Emphasis">
    <w:name w:val="Emphasis"/>
    <w:uiPriority w:val="20"/>
    <w:qFormat/>
    <w:rsid w:val="00bb18d9"/>
    <w:rPr>
      <w:i/>
      <w:iCs/>
    </w:rPr>
  </w:style>
  <w:style w:type="character" w:styleId="21" w:customStyle="1">
    <w:name w:val="Цитата 2 Знак"/>
    <w:link w:val="Quote"/>
    <w:uiPriority w:val="29"/>
    <w:qFormat/>
    <w:rsid w:val="00bb18d9"/>
    <w:rPr>
      <w:rFonts w:ascii="Calibri" w:hAnsi="Calibri" w:eastAsia="Calibri" w:cs="Times New Roman"/>
      <w:i/>
      <w:iCs/>
      <w:color w:val="000000"/>
      <w:sz w:val="20"/>
      <w:szCs w:val="20"/>
    </w:rPr>
  </w:style>
  <w:style w:type="character" w:styleId="Style9" w:customStyle="1">
    <w:name w:val="Выделенная цитата Знак"/>
    <w:link w:val="IntenseQuote"/>
    <w:uiPriority w:val="30"/>
    <w:qFormat/>
    <w:rsid w:val="00bb18d9"/>
    <w:rPr>
      <w:rFonts w:ascii="Calibri" w:hAnsi="Calibri" w:eastAsia="Calibri" w:cs="Times New Roman"/>
      <w:b/>
      <w:bCs/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bb18d9"/>
    <w:rPr>
      <w:i/>
      <w:iCs/>
      <w:color w:val="808080"/>
    </w:rPr>
  </w:style>
  <w:style w:type="character" w:styleId="IntenseEmphasis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bb18d9"/>
    <w:rPr>
      <w:b/>
      <w:bCs/>
      <w:smallCaps/>
      <w:spacing w:val="5"/>
    </w:rPr>
  </w:style>
  <w:style w:type="character" w:styleId="Style10" w:customStyle="1">
    <w:name w:val="Электронная подпись Знак"/>
    <w:link w:val="E-mailSignature"/>
    <w:uiPriority w:val="99"/>
    <w:semiHidden/>
    <w:qFormat/>
    <w:rsid w:val="00bb18d9"/>
    <w:rPr>
      <w:rFonts w:ascii="Times New Roman" w:hAnsi="Times New Roman" w:eastAsia="Calibri" w:cs="Times New Roman"/>
      <w:sz w:val="24"/>
      <w:szCs w:val="24"/>
      <w:lang w:eastAsia="ru-RU"/>
    </w:rPr>
  </w:style>
  <w:style w:type="character" w:styleId="Style11" w:customStyle="1">
    <w:name w:val="Тема примечания Знак"/>
    <w:link w:val="Annotationsubject"/>
    <w:semiHidden/>
    <w:qFormat/>
    <w:rsid w:val="00bb18d9"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Style12" w:customStyle="1">
    <w:name w:val="Основной текст с отступом Знак"/>
    <w:qFormat/>
    <w:rsid w:val="008757e8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FollowedHyperlink">
    <w:name w:val="FollowedHyperlink"/>
    <w:uiPriority w:val="99"/>
    <w:semiHidden/>
    <w:unhideWhenUsed/>
    <w:rsid w:val="00b211e3"/>
    <w:rPr>
      <w:color w:val="954F72"/>
      <w:u w:val="single"/>
    </w:rPr>
  </w:style>
  <w:style w:type="character" w:styleId="Style13" w:customStyle="1">
    <w:name w:val="Абзац списка Знак"/>
    <w:link w:val="ListParagraph"/>
    <w:uiPriority w:val="34"/>
    <w:qFormat/>
    <w:rsid w:val="00253374"/>
    <w:rPr>
      <w:sz w:val="22"/>
      <w:szCs w:val="22"/>
    </w:rPr>
  </w:style>
  <w:style w:type="character" w:styleId="61" w:customStyle="1">
    <w:name w:val="Основной текст (6)_"/>
    <w:basedOn w:val="DefaultParagraphFont"/>
    <w:link w:val="62"/>
    <w:qFormat/>
    <w:rsid w:val="00310980"/>
    <w:rPr>
      <w:rFonts w:ascii="Times New Roman" w:hAnsi="Times New Roman"/>
      <w:shd w:fill="FFFFFF" w:val="clear"/>
    </w:rPr>
  </w:style>
  <w:style w:type="character" w:styleId="Style14" w:customStyle="1">
    <w:name w:val="Колонтитул_"/>
    <w:basedOn w:val="DefaultParagraphFont"/>
    <w:link w:val="Style27"/>
    <w:qFormat/>
    <w:rsid w:val="006d08bc"/>
    <w:rPr>
      <w:rFonts w:ascii="Times New Roman" w:hAnsi="Times New Roman"/>
      <w:shd w:fill="FFFFFF" w:val="clear"/>
    </w:rPr>
  </w:style>
  <w:style w:type="character" w:styleId="Style15" w:customStyle="1">
    <w:name w:val="комментарий"/>
    <w:qFormat/>
    <w:rsid w:val="008d2ec1"/>
    <w:rPr>
      <w:b/>
      <w:i/>
      <w:shd w:fill="FFFF99" w:val="clear"/>
    </w:rPr>
  </w:style>
  <w:style w:type="character" w:styleId="ConsPlusNormal" w:customStyle="1">
    <w:name w:val="ConsPlusNormal Знак"/>
    <w:link w:val="ConsPlusNormal1"/>
    <w:qFormat/>
    <w:rsid w:val="00170c47"/>
    <w:rPr>
      <w:rFonts w:ascii="Arial" w:hAnsi="Arial" w:cs="Arial"/>
    </w:rPr>
  </w:style>
  <w:style w:type="character" w:styleId="12" w:customStyle="1">
    <w:name w:val="Абзац списка Знак1"/>
    <w:basedOn w:val="DefaultParagraphFont"/>
    <w:uiPriority w:val="34"/>
    <w:qFormat/>
    <w:rsid w:val="00a270f3"/>
    <w:rPr>
      <w:rFonts w:ascii="Calibri" w:hAnsi="Calibri"/>
      <w:sz w:val="22"/>
    </w:rPr>
  </w:style>
  <w:style w:type="character" w:styleId="Style16" w:customStyle="1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ListParagraph">
    <w:name w:val="List Paragraph"/>
    <w:basedOn w:val="Normal"/>
    <w:link w:val="Style13"/>
    <w:uiPriority w:val="34"/>
    <w:qFormat/>
    <w:rsid w:val="00141d91"/>
    <w:pPr>
      <w:spacing w:before="0" w:after="200"/>
      <w:ind w:hanging="0" w:left="720"/>
      <w:contextualSpacing/>
    </w:pPr>
    <w:rPr/>
  </w:style>
  <w:style w:type="paragraph" w:styleId="Annotationtext">
    <w:name w:val="annotation text"/>
    <w:basedOn w:val="Normal"/>
    <w:link w:val="Style"/>
    <w:qFormat/>
    <w:rsid w:val="00cb04da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Normal"/>
    <w:link w:val="Style1"/>
    <w:semiHidden/>
    <w:unhideWhenUsed/>
    <w:qFormat/>
    <w:rsid w:val="00cb04da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19" w:customStyle="1">
    <w:name w:val="Обычный+ без отступа"/>
    <w:basedOn w:val="Normal"/>
    <w:qFormat/>
    <w:rsid w:val="000a41f8"/>
    <w:pPr>
      <w:spacing w:lineRule="auto" w:line="360" w:before="120" w:after="0"/>
      <w:jc w:val="both"/>
    </w:pPr>
    <w:rPr>
      <w:rFonts w:ascii="Times New Roman" w:hAnsi="Times New Roman" w:eastAsia="MS Mincho"/>
      <w:sz w:val="28"/>
      <w:szCs w:val="28"/>
    </w:rPr>
  </w:style>
  <w:style w:type="paragraph" w:styleId="Style20" w:customStyle="1">
    <w:name w:val="Таблица шапка"/>
    <w:basedOn w:val="Normal"/>
    <w:qFormat/>
    <w:rsid w:val="008b7e3f"/>
    <w:pPr>
      <w:keepNext w:val="true"/>
      <w:spacing w:lineRule="auto" w:line="240" w:before="40" w:after="40"/>
      <w:ind w:hanging="0" w:left="57" w:right="57"/>
    </w:pPr>
    <w:rPr>
      <w:rFonts w:ascii="Times New Roman" w:hAnsi="Times New Roman"/>
      <w:sz w:val="18"/>
      <w:szCs w:val="18"/>
    </w:rPr>
  </w:style>
  <w:style w:type="paragraph" w:styleId="Style21" w:customStyle="1">
    <w:name w:val="Текст таблицы"/>
    <w:basedOn w:val="Normal"/>
    <w:qFormat/>
    <w:rsid w:val="008b7e3f"/>
    <w:pPr>
      <w:spacing w:lineRule="auto" w:line="240" w:before="40" w:after="40"/>
      <w:ind w:hanging="0" w:left="57" w:right="57"/>
    </w:pPr>
    <w:rPr>
      <w:rFonts w:ascii="Times New Roman" w:hAnsi="Times New Roman"/>
      <w:sz w:val="24"/>
      <w:szCs w:val="24"/>
    </w:rPr>
  </w:style>
  <w:style w:type="paragraph" w:styleId="Style22" w:customStyle="1">
    <w:name w:val="Пункт Знак"/>
    <w:basedOn w:val="Normal"/>
    <w:qFormat/>
    <w:rsid w:val="00112ebd"/>
    <w:pPr>
      <w:numPr>
        <w:ilvl w:val="1"/>
        <w:numId w:val="1"/>
      </w:numPr>
      <w:tabs>
        <w:tab w:val="clear" w:pos="709"/>
        <w:tab w:val="left" w:pos="851" w:leader="none"/>
        <w:tab w:val="left" w:pos="1134" w:leader="none"/>
      </w:tabs>
      <w:spacing w:lineRule="auto" w:line="360" w:before="0" w:after="0"/>
      <w:jc w:val="both"/>
    </w:pPr>
    <w:rPr>
      <w:rFonts w:ascii="Times New Roman" w:hAnsi="Times New Roman"/>
      <w:b/>
      <w:sz w:val="28"/>
      <w:szCs w:val="20"/>
    </w:rPr>
  </w:style>
  <w:style w:type="paragraph" w:styleId="Style23" w:customStyle="1">
    <w:name w:val="Подпункт"/>
    <w:basedOn w:val="Style22"/>
    <w:link w:val="1"/>
    <w:qFormat/>
    <w:rsid w:val="00b5006b"/>
    <w:pPr>
      <w:numPr>
        <w:ilvl w:val="2"/>
      </w:numPr>
      <w:tabs>
        <w:tab w:val="clear" w:pos="1134"/>
        <w:tab w:val="left" w:pos="851" w:leader="none"/>
      </w:tabs>
    </w:pPr>
    <w:rPr/>
  </w:style>
  <w:style w:type="paragraph" w:styleId="Style24" w:customStyle="1">
    <w:name w:val="Подподпункт"/>
    <w:basedOn w:val="Style23"/>
    <w:qFormat/>
    <w:rsid w:val="00b5006b"/>
    <w:pPr>
      <w:numPr>
        <w:ilvl w:val="3"/>
      </w:numPr>
      <w:tabs>
        <w:tab w:val="left" w:pos="851" w:leader="none"/>
        <w:tab w:val="left" w:pos="1134" w:leader="none"/>
        <w:tab w:val="left" w:pos="1418" w:leader="none"/>
      </w:tabs>
    </w:pPr>
    <w:rPr/>
  </w:style>
  <w:style w:type="paragraph" w:styleId="Style25" w:customStyle="1">
    <w:name w:val="Подподподпункт"/>
    <w:basedOn w:val="Normal"/>
    <w:qFormat/>
    <w:rsid w:val="00112ebd"/>
    <w:pPr>
      <w:numPr>
        <w:ilvl w:val="4"/>
        <w:numId w:val="1"/>
      </w:numPr>
      <w:tabs>
        <w:tab w:val="clear" w:pos="709"/>
        <w:tab w:val="left" w:pos="1134" w:leader="none"/>
        <w:tab w:val="left" w:pos="1701" w:leader="none"/>
      </w:tabs>
      <w:spacing w:lineRule="auto" w:line="360" w:before="0" w:after="0"/>
      <w:jc w:val="both"/>
    </w:pPr>
    <w:rPr>
      <w:rFonts w:ascii="Times New Roman" w:hAnsi="Times New Roman"/>
      <w:sz w:val="28"/>
      <w:szCs w:val="20"/>
    </w:rPr>
  </w:style>
  <w:style w:type="paragraph" w:styleId="13" w:customStyle="1">
    <w:name w:val="Пункт1"/>
    <w:basedOn w:val="Normal"/>
    <w:qFormat/>
    <w:rsid w:val="00b5006b"/>
    <w:pPr>
      <w:numPr>
        <w:ilvl w:val="0"/>
        <w:numId w:val="1"/>
      </w:numPr>
      <w:spacing w:lineRule="auto" w:line="360" w:before="240" w:after="0"/>
      <w:jc w:val="center"/>
    </w:pPr>
    <w:rPr>
      <w:rFonts w:ascii="Arial" w:hAnsi="Arial"/>
      <w:b/>
      <w:sz w:val="28"/>
      <w:szCs w:val="28"/>
    </w:rPr>
  </w:style>
  <w:style w:type="paragraph" w:styleId="31" w:customStyle="1">
    <w:name w:val="Пункт_3"/>
    <w:basedOn w:val="Normal"/>
    <w:uiPriority w:val="99"/>
    <w:qFormat/>
    <w:rsid w:val="00112ebd"/>
    <w:pPr>
      <w:tabs>
        <w:tab w:val="clear" w:pos="709"/>
        <w:tab w:val="left" w:pos="1134" w:leader="none"/>
      </w:tabs>
      <w:spacing w:lineRule="auto" w:line="360" w:before="0" w:after="0"/>
      <w:ind w:hanging="1133" w:left="1134"/>
      <w:jc w:val="both"/>
    </w:pPr>
    <w:rPr>
      <w:rFonts w:ascii="Times New Roman" w:hAnsi="Times New Roman"/>
      <w:sz w:val="28"/>
      <w:szCs w:val="20"/>
    </w:rPr>
  </w:style>
  <w:style w:type="paragraph" w:styleId="TOC1">
    <w:name w:val="TOC 1"/>
    <w:basedOn w:val="Normal"/>
    <w:next w:val="Normal"/>
    <w:autoRedefine/>
    <w:uiPriority w:val="39"/>
    <w:rsid w:val="00b17e73"/>
    <w:pPr>
      <w:tabs>
        <w:tab w:val="clear" w:pos="709"/>
        <w:tab w:val="right" w:pos="9344" w:leader="dot"/>
      </w:tabs>
      <w:spacing w:lineRule="auto" w:line="240" w:before="0" w:after="0"/>
      <w:jc w:val="center"/>
    </w:pPr>
    <w:rPr>
      <w:rFonts w:ascii="Times New Roman" w:hAnsi="Times New Roman"/>
      <w:b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b87d05"/>
    <w:pPr>
      <w:tabs>
        <w:tab w:val="clear" w:pos="709"/>
        <w:tab w:val="left" w:pos="426" w:leader="none"/>
        <w:tab w:val="left" w:pos="1680" w:leader="none"/>
        <w:tab w:val="right" w:pos="9344" w:leader="dot"/>
        <w:tab w:val="right" w:pos="9639" w:leader="dot"/>
      </w:tabs>
      <w:spacing w:before="0" w:after="0"/>
      <w:ind w:hanging="0" w:left="220"/>
    </w:pPr>
    <w:rPr/>
  </w:style>
  <w:style w:type="paragraph" w:styleId="FootnoteText">
    <w:name w:val="Footnote Text"/>
    <w:basedOn w:val="Normal"/>
    <w:link w:val="Style2"/>
    <w:uiPriority w:val="99"/>
    <w:unhideWhenUsed/>
    <w:rsid w:val="0080406e"/>
    <w:pPr>
      <w:spacing w:lineRule="auto" w:line="240" w:before="0" w:after="0"/>
    </w:pPr>
    <w:rPr>
      <w:rFonts w:ascii="Times New Roman" w:hAnsi="Times New Roman" w:eastAsia="Calibri"/>
      <w:sz w:val="20"/>
      <w:szCs w:val="20"/>
    </w:rPr>
  </w:style>
  <w:style w:type="paragraph" w:styleId="ConsPlusNormal1" w:customStyle="1">
    <w:name w:val="ConsPlusNormal"/>
    <w:link w:val="ConsPlusNormal"/>
    <w:qFormat/>
    <w:rsid w:val="00192f26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26" w:customStyle="1">
    <w:name w:val="Таблица"/>
    <w:basedOn w:val="Normal"/>
    <w:qFormat/>
    <w:rsid w:val="00192f26"/>
    <w:pPr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14" w:customStyle="1">
    <w:name w:val="Абзац списка1"/>
    <w:basedOn w:val="Normal"/>
    <w:qFormat/>
    <w:rsid w:val="00192f26"/>
    <w:pPr>
      <w:spacing w:before="0" w:after="200"/>
      <w:ind w:hanging="0" w:left="720"/>
      <w:contextualSpacing/>
    </w:pPr>
    <w:rPr/>
  </w:style>
  <w:style w:type="paragraph" w:styleId="Style27" w:customStyle="1">
    <w:name w:val="Колонтитул"/>
    <w:basedOn w:val="Normal"/>
    <w:link w:val="Style14"/>
    <w:qFormat/>
    <w:rsid w:val="006d08bc"/>
    <w:pPr>
      <w:widowControl w:val="false"/>
      <w:shd w:val="clear" w:color="auto" w:fill="FFFFFF"/>
      <w:spacing w:lineRule="auto" w:line="240" w:before="0" w:after="0"/>
    </w:pPr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Style4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5"/>
    <w:uiPriority w:val="99"/>
    <w:unhideWhenUsed/>
    <w:rsid w:val="00ff6229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DocumentMap">
    <w:name w:val="Document Map"/>
    <w:basedOn w:val="Normal"/>
    <w:link w:val="Style6"/>
    <w:uiPriority w:val="99"/>
    <w:semiHidden/>
    <w:unhideWhenUsed/>
    <w:qFormat/>
    <w:rsid w:val="0040689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8" w:customStyle="1">
    <w:name w:val="Знак Знак Знак Знак Знак Знак Знак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NoSpacing">
    <w:name w:val="No Spacing"/>
    <w:basedOn w:val="Normal"/>
    <w:uiPriority w:val="1"/>
    <w:qFormat/>
    <w:rsid w:val="00bb18d9"/>
    <w:pPr>
      <w:spacing w:lineRule="auto" w:line="360" w:before="0" w:after="0"/>
    </w:pPr>
    <w:rPr>
      <w:rFonts w:ascii="Times New Roman" w:hAnsi="Times New Roman"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bb18d9"/>
    <w:pPr>
      <w:spacing w:lineRule="auto" w:line="240" w:before="0" w:after="0"/>
    </w:pPr>
    <w:rPr>
      <w:rFonts w:ascii="Times New Roman" w:hAnsi="Times New Roman" w:eastAsia="Calibri"/>
      <w:b/>
      <w:bCs/>
      <w:color w:val="4F81BD"/>
      <w:sz w:val="18"/>
      <w:szCs w:val="18"/>
    </w:rPr>
  </w:style>
  <w:style w:type="paragraph" w:styleId="15" w:customStyle="1">
    <w:name w:val="Название1"/>
    <w:basedOn w:val="Normal"/>
    <w:next w:val="Normal"/>
    <w:link w:val="Style7"/>
    <w:uiPriority w:val="10"/>
    <w:qFormat/>
    <w:rsid w:val="00bb18d9"/>
    <w:pPr>
      <w:pBdr>
        <w:bottom w:val="single" w:sz="8" w:space="4" w:color="4F81BD"/>
      </w:pBdr>
      <w:spacing w:lineRule="auto" w:line="240" w:before="0" w:after="300"/>
      <w:contextualSpacing/>
    </w:pPr>
    <w:rPr>
      <w:rFonts w:ascii="Cambria" w:hAnsi="Cambria"/>
      <w:color w:val="17365D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tyle8"/>
    <w:uiPriority w:val="11"/>
    <w:qFormat/>
    <w:rsid w:val="00bb18d9"/>
    <w:pPr>
      <w:numPr>
        <w:ilvl w:val="1"/>
      </w:numPr>
      <w:spacing w:lineRule="auto" w:line="240" w:before="0" w:after="0"/>
      <w:ind w:firstLine="709" w:left="1066"/>
    </w:pPr>
    <w:rPr>
      <w:rFonts w:ascii="Cambria" w:hAnsi="Cambria"/>
      <w:i/>
      <w:iCs/>
      <w:color w:val="4F81BD"/>
      <w:spacing w:val="15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bb18d9"/>
    <w:pPr>
      <w:spacing w:lineRule="auto" w:line="240" w:before="0" w:after="0"/>
    </w:pPr>
    <w:rPr>
      <w:rFonts w:eastAsia="Calibri"/>
      <w:i/>
      <w:iCs/>
      <w:color w:val="000000"/>
      <w:sz w:val="20"/>
      <w:szCs w:val="20"/>
    </w:rPr>
  </w:style>
  <w:style w:type="paragraph" w:styleId="IntenseQuote">
    <w:name w:val="Intense Quote"/>
    <w:basedOn w:val="Normal"/>
    <w:next w:val="Normal"/>
    <w:link w:val="Style9"/>
    <w:uiPriority w:val="30"/>
    <w:qFormat/>
    <w:rsid w:val="00bb18d9"/>
    <w:pPr>
      <w:pBdr>
        <w:bottom w:val="single" w:sz="4" w:space="4" w:color="4F81BD"/>
      </w:pBdr>
      <w:spacing w:lineRule="auto" w:line="240" w:before="200" w:after="280"/>
      <w:ind w:hanging="0" w:left="936" w:right="936"/>
    </w:pPr>
    <w:rPr>
      <w:rFonts w:eastAsia="Calibri"/>
      <w:b/>
      <w:bCs/>
      <w:i/>
      <w:iCs/>
      <w:color w:val="4F81BD"/>
      <w:sz w:val="20"/>
      <w:szCs w:val="20"/>
    </w:rPr>
  </w:style>
  <w:style w:type="paragraph" w:styleId="IndexHeading">
    <w:name w:val="Index Heading"/>
    <w:basedOn w:val="Style17"/>
    <w:pPr/>
    <w:rPr/>
  </w:style>
  <w:style w:type="paragraph" w:styleId="TOCHeading">
    <w:name w:val="TOC Heading"/>
    <w:basedOn w:val="Heading1"/>
    <w:next w:val="Normal"/>
    <w:uiPriority w:val="39"/>
    <w:qFormat/>
    <w:rsid w:val="00bb18d9"/>
    <w:pPr>
      <w:outlineLvl w:val="9"/>
    </w:pPr>
    <w:rPr/>
  </w:style>
  <w:style w:type="paragraph" w:styleId="E-mailSignature">
    <w:name w:val="E-mail Signature"/>
    <w:basedOn w:val="Normal"/>
    <w:link w:val="Style10"/>
    <w:uiPriority w:val="99"/>
    <w:semiHidden/>
    <w:unhideWhenUsed/>
    <w:qFormat/>
    <w:rsid w:val="00bb18d9"/>
    <w:pPr>
      <w:spacing w:lineRule="auto" w:line="240" w:before="0" w:after="0"/>
    </w:pPr>
    <w:rPr>
      <w:rFonts w:ascii="Times New Roman" w:hAnsi="Times New Roman" w:eastAsia="Calibri"/>
      <w:sz w:val="24"/>
      <w:szCs w:val="24"/>
    </w:rPr>
  </w:style>
  <w:style w:type="paragraph" w:styleId="Style29" w:customStyle="1">
    <w:name w:val="Знак"/>
    <w:basedOn w:val="Normal"/>
    <w:qFormat/>
    <w:rsid w:val="00bb18d9"/>
    <w:pPr>
      <w:spacing w:lineRule="exact" w:line="240" w:before="0" w:after="160"/>
    </w:pPr>
    <w:rPr>
      <w:rFonts w:ascii="Verdana" w:hAnsi="Verdana" w:cs="Verdana"/>
      <w:sz w:val="20"/>
      <w:szCs w:val="20"/>
      <w:lang w:val="en-US"/>
    </w:rPr>
  </w:style>
  <w:style w:type="paragraph" w:styleId="Annotationsubject">
    <w:name w:val="annotation subject"/>
    <w:basedOn w:val="Annotationtext"/>
    <w:next w:val="Annotationtext"/>
    <w:link w:val="Style11"/>
    <w:semiHidden/>
    <w:qFormat/>
    <w:rsid w:val="00bb18d9"/>
    <w:pPr/>
    <w:rPr>
      <w:rFonts w:eastAsia="Calibri"/>
      <w:b/>
      <w:bCs/>
    </w:rPr>
  </w:style>
  <w:style w:type="paragraph" w:styleId="32" w:customStyle="1">
    <w:name w:val="Нумерованный список ур3"/>
    <w:basedOn w:val="Normal"/>
    <w:qFormat/>
    <w:rsid w:val="00bb18d9"/>
    <w:pPr>
      <w:numPr>
        <w:ilvl w:val="2"/>
        <w:numId w:val="2"/>
      </w:numPr>
      <w:spacing w:lineRule="auto" w:line="240" w:before="0" w:after="0"/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b5006b"/>
    <w:pPr>
      <w:numPr>
        <w:ilvl w:val="0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22" w:customStyle="1">
    <w:name w:val="Нумерованный список ур2"/>
    <w:basedOn w:val="Normal"/>
    <w:qFormat/>
    <w:rsid w:val="00bb18d9"/>
    <w:pPr>
      <w:numPr>
        <w:ilvl w:val="1"/>
        <w:numId w:val="2"/>
      </w:numPr>
      <w:spacing w:lineRule="auto" w:line="240" w:before="120" w:after="0"/>
      <w:jc w:val="both"/>
    </w:pPr>
    <w:rPr>
      <w:rFonts w:ascii="Garamond" w:hAnsi="Garamond"/>
      <w:sz w:val="24"/>
      <w:szCs w:val="20"/>
    </w:rPr>
  </w:style>
  <w:style w:type="paragraph" w:styleId="NormalWeb">
    <w:name w:val="Normal (Web)"/>
    <w:basedOn w:val="Normal"/>
    <w:uiPriority w:val="99"/>
    <w:qFormat/>
    <w:rsid w:val="00bb18d9"/>
    <w:pPr>
      <w:spacing w:lineRule="auto" w:line="240" w:before="30" w:after="30"/>
    </w:pPr>
    <w:rPr>
      <w:rFonts w:ascii="Arial" w:hAnsi="Arial" w:eastAsia="Arial Unicode MS" w:cs="Arial"/>
      <w:color w:val="332E2D"/>
      <w:spacing w:val="2"/>
      <w:sz w:val="24"/>
      <w:szCs w:val="24"/>
    </w:rPr>
  </w:style>
  <w:style w:type="paragraph" w:styleId="Revision">
    <w:name w:val="Revision"/>
    <w:uiPriority w:val="99"/>
    <w:semiHidden/>
    <w:qFormat/>
    <w:rsid w:val="00bb18d9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33" w:customStyle="1">
    <w:name w:val="Знак Знак3 Знак Знак"/>
    <w:basedOn w:val="Normal"/>
    <w:qFormat/>
    <w:rsid w:val="00bb18d9"/>
    <w:pPr>
      <w:spacing w:lineRule="exact" w:line="240" w:before="0" w:after="160"/>
      <w:jc w:val="both"/>
    </w:pPr>
    <w:rPr>
      <w:rFonts w:ascii="Verdana" w:hAnsi="Verdana" w:cs="Verdana"/>
      <w:lang w:val="en-US"/>
    </w:rPr>
  </w:style>
  <w:style w:type="paragraph" w:styleId="Style30" w:customStyle="1">
    <w:name w:val="Пункт"/>
    <w:basedOn w:val="Normal"/>
    <w:qFormat/>
    <w:rsid w:val="00bb18d9"/>
    <w:pPr>
      <w:widowControl w:val="false"/>
      <w:tabs>
        <w:tab w:val="clear" w:pos="709"/>
        <w:tab w:val="left" w:pos="1134" w:leader="none"/>
      </w:tabs>
      <w:spacing w:lineRule="auto" w:line="360" w:before="120" w:after="0"/>
      <w:ind w:hanging="1134" w:left="1134" w:right="800"/>
      <w:jc w:val="both"/>
    </w:pPr>
    <w:rPr>
      <w:rFonts w:ascii="Arial" w:hAnsi="Arial"/>
      <w:b/>
      <w:i/>
      <w:sz w:val="28"/>
      <w:szCs w:val="20"/>
    </w:rPr>
  </w:style>
  <w:style w:type="paragraph" w:styleId="23" w:customStyle="1">
    <w:name w:val="Абзац списка2"/>
    <w:basedOn w:val="Normal"/>
    <w:qFormat/>
    <w:rsid w:val="00bb18d9"/>
    <w:pPr>
      <w:spacing w:before="0" w:after="200"/>
      <w:ind w:hanging="0" w:left="720"/>
      <w:contextualSpacing/>
    </w:pPr>
    <w:rPr/>
  </w:style>
  <w:style w:type="paragraph" w:styleId="BodyTextIndent">
    <w:name w:val="Body Text Indent"/>
    <w:basedOn w:val="Normal"/>
    <w:link w:val="Style12"/>
    <w:rsid w:val="008757e8"/>
    <w:pPr>
      <w:spacing w:lineRule="auto" w:line="240" w:before="0" w:after="120"/>
      <w:ind w:hanging="0" w:left="283"/>
    </w:pPr>
    <w:rPr>
      <w:rFonts w:ascii="Times New Roman" w:hAnsi="Times New Roman"/>
      <w:sz w:val="28"/>
      <w:szCs w:val="28"/>
    </w:rPr>
  </w:style>
  <w:style w:type="paragraph" w:styleId="Style31" w:customStyle="1">
    <w:name w:val="Знак Знак"/>
    <w:basedOn w:val="Normal"/>
    <w:qFormat/>
    <w:rsid w:val="00d30377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TOC3">
    <w:name w:val="TOC 3"/>
    <w:basedOn w:val="Normal"/>
    <w:next w:val="Normal"/>
    <w:autoRedefine/>
    <w:uiPriority w:val="39"/>
    <w:unhideWhenUsed/>
    <w:rsid w:val="00bb55ba"/>
    <w:pPr>
      <w:spacing w:before="0" w:after="100"/>
      <w:ind w:hanging="0" w:left="440"/>
    </w:pPr>
    <w:rPr/>
  </w:style>
  <w:style w:type="paragraph" w:styleId="62" w:customStyle="1">
    <w:name w:val="Основной текст (6)"/>
    <w:basedOn w:val="Normal"/>
    <w:link w:val="61"/>
    <w:qFormat/>
    <w:rsid w:val="00310980"/>
    <w:pPr>
      <w:widowControl w:val="false"/>
      <w:shd w:val="clear" w:color="auto" w:fill="FFFFFF"/>
      <w:spacing w:lineRule="auto" w:line="240" w:before="0" w:after="0"/>
      <w:ind w:firstLine="720"/>
      <w:jc w:val="both"/>
    </w:pPr>
    <w:rPr>
      <w:rFonts w:ascii="Times New Roman" w:hAnsi="Times New Roman"/>
      <w:sz w:val="20"/>
      <w:szCs w:val="20"/>
    </w:rPr>
  </w:style>
  <w:style w:type="paragraph" w:styleId="TableListParagraph" w:customStyle="1">
    <w:name w:val="Table List Paragraph"/>
    <w:basedOn w:val="Normal"/>
    <w:qFormat/>
    <w:rsid w:val="00a270f3"/>
    <w:pPr>
      <w:numPr>
        <w:ilvl w:val="0"/>
        <w:numId w:val="8"/>
      </w:numPr>
      <w:tabs>
        <w:tab w:val="clear" w:pos="709"/>
        <w:tab w:val="left" w:pos="360" w:leader="none"/>
      </w:tabs>
      <w:spacing w:lineRule="auto" w:line="240" w:before="0" w:after="0"/>
      <w:jc w:val="both"/>
    </w:pPr>
    <w:rPr>
      <w:rFonts w:ascii="Times New Roman" w:hAnsi="Times New Roman"/>
      <w:sz w:val="24"/>
      <w:szCs w:val="24"/>
    </w:rPr>
  </w:style>
  <w:style w:type="paragraph" w:styleId="Style32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4">
    <w:name w:val="Table Grid"/>
    <w:basedOn w:val="a5"/>
    <w:uiPriority w:val="39"/>
    <w:rsid w:val="00b918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footer" Target="footer3.xml"/><Relationship Id="rId6" Type="http://schemas.openxmlformats.org/officeDocument/2006/relationships/footer" Target="footer4.xml"/><Relationship Id="rId7" Type="http://schemas.openxmlformats.org/officeDocument/2006/relationships/footer" Target="footer5.xml"/><Relationship Id="rId8" Type="http://schemas.openxmlformats.org/officeDocument/2006/relationships/footer" Target="footer6.xml"/><Relationship Id="rId9" Type="http://schemas.openxmlformats.org/officeDocument/2006/relationships/footer" Target="footer7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E9928-AAB7-48BB-86F5-7C45D12F5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Application>AlterOffice/2026.2.0.0$Linux_X86_64 LibreOffice_project/bc4ef1adf80b36c7a6365f8ed6cbf29021361edd</Application>
  <AppVersion>15.0000</AppVersion>
  <Pages>13</Pages>
  <Words>3074</Words>
  <Characters>21248</Characters>
  <CharactersWithSpaces>25438</CharactersWithSpaces>
  <Paragraphs>322</Paragraphs>
  <Company>####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2025-02-26T05:12:00Z</dcterms:created>
  <dc:creator>Торопов Денис Владимирович</dc:creator>
  <dc:description/>
  <dc:language>ru-RU</dc:language>
  <cp:lastModifiedBy>kuzmina_nd</cp:lastModifiedBy>
  <dcterms:modified xsi:type="dcterms:W3CDTF">2026-08-18T15:46:59Z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